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5" w:type="dxa"/>
        <w:tblInd w:w="-743" w:type="dxa"/>
        <w:tblLayout w:type="fixed"/>
        <w:tblLook w:val="00A0" w:firstRow="1" w:lastRow="0" w:firstColumn="1" w:lastColumn="0" w:noHBand="0" w:noVBand="0"/>
      </w:tblPr>
      <w:tblGrid>
        <w:gridCol w:w="2411"/>
        <w:gridCol w:w="1157"/>
        <w:gridCol w:w="6327"/>
      </w:tblGrid>
      <w:tr w:rsidR="009B0B40" w:rsidRPr="00665FCB" w14:paraId="3AB21801" w14:textId="77777777">
        <w:trPr>
          <w:trHeight w:val="16830"/>
        </w:trPr>
        <w:tc>
          <w:tcPr>
            <w:tcW w:w="2411" w:type="dxa"/>
            <w:shd w:val="clear" w:color="auto" w:fill="4F81BD"/>
          </w:tcPr>
          <w:p w14:paraId="732DAF20" w14:textId="77777777" w:rsidR="009B0B40" w:rsidRDefault="009B0B40" w:rsidP="004429D1">
            <w:bookmarkStart w:id="0" w:name="_GoBack"/>
            <w:bookmarkEnd w:id="0"/>
            <w:r w:rsidRPr="00665FCB">
              <w:t xml:space="preserve">  </w:t>
            </w:r>
          </w:p>
          <w:p w14:paraId="3AA45F21" w14:textId="77777777" w:rsidR="009B0B40" w:rsidRPr="00665FCB" w:rsidRDefault="009B0B40" w:rsidP="004429D1"/>
          <w:p w14:paraId="4EE23C3F" w14:textId="77777777" w:rsidR="009B0B40" w:rsidRDefault="009B0B40" w:rsidP="004429D1"/>
          <w:p w14:paraId="582E0CC2" w14:textId="77777777" w:rsidR="009B0B40" w:rsidRDefault="009B0B40" w:rsidP="004429D1"/>
          <w:p w14:paraId="79AC6070" w14:textId="77777777" w:rsidR="009B0B40" w:rsidRPr="00665FCB" w:rsidRDefault="009B0B40" w:rsidP="004429D1"/>
          <w:p w14:paraId="64FCB374" w14:textId="77777777" w:rsidR="009B0B40" w:rsidRPr="00665FCB" w:rsidRDefault="009B0B40" w:rsidP="004429D1"/>
          <w:p w14:paraId="4D7D5244" w14:textId="77777777" w:rsidR="009B0B40" w:rsidRPr="00665FCB" w:rsidRDefault="009A7488" w:rsidP="004429D1">
            <w:r>
              <w:rPr>
                <w:noProof/>
                <w:lang w:val="es-ES"/>
              </w:rPr>
              <w:drawing>
                <wp:inline distT="0" distB="0" distL="0" distR="0" wp14:anchorId="512124F2" wp14:editId="7F932683">
                  <wp:extent cx="1520190" cy="712470"/>
                  <wp:effectExtent l="19050" t="0" r="3810" b="0"/>
                  <wp:docPr id="1" name="Picture 1" descr="1-LogoSG-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ogoSG-blanco"/>
                          <pic:cNvPicPr>
                            <a:picLocks noChangeAspect="1" noChangeArrowheads="1"/>
                          </pic:cNvPicPr>
                        </pic:nvPicPr>
                        <pic:blipFill>
                          <a:blip r:embed="rId9"/>
                          <a:srcRect/>
                          <a:stretch>
                            <a:fillRect/>
                          </a:stretch>
                        </pic:blipFill>
                        <pic:spPr bwMode="auto">
                          <a:xfrm>
                            <a:off x="0" y="0"/>
                            <a:ext cx="1520190" cy="712470"/>
                          </a:xfrm>
                          <a:prstGeom prst="rect">
                            <a:avLst/>
                          </a:prstGeom>
                          <a:noFill/>
                          <a:ln w="9525">
                            <a:noFill/>
                            <a:miter lim="800000"/>
                            <a:headEnd/>
                            <a:tailEnd/>
                          </a:ln>
                        </pic:spPr>
                      </pic:pic>
                    </a:graphicData>
                  </a:graphic>
                </wp:inline>
              </w:drawing>
            </w:r>
          </w:p>
          <w:p w14:paraId="5BC9CE79" w14:textId="77777777" w:rsidR="009B0B40" w:rsidRPr="00665FCB" w:rsidRDefault="009B0B40" w:rsidP="004429D1"/>
          <w:p w14:paraId="6802D4A4" w14:textId="77777777" w:rsidR="009B0B40" w:rsidRPr="00665FCB" w:rsidRDefault="009B0B40" w:rsidP="004429D1"/>
          <w:p w14:paraId="4FA48BDE" w14:textId="77777777" w:rsidR="009B0B40" w:rsidRPr="00665FCB" w:rsidRDefault="009B0B40" w:rsidP="004429D1"/>
          <w:p w14:paraId="769699E3" w14:textId="77777777" w:rsidR="009B0B40" w:rsidRPr="00665FCB" w:rsidRDefault="009B0B40" w:rsidP="004429D1"/>
        </w:tc>
        <w:tc>
          <w:tcPr>
            <w:tcW w:w="1157" w:type="dxa"/>
          </w:tcPr>
          <w:p w14:paraId="0A9A9C4B" w14:textId="77777777" w:rsidR="009B0B40" w:rsidRPr="00665FCB" w:rsidRDefault="009B0B40" w:rsidP="004429D1">
            <w:pPr>
              <w:rPr>
                <w:b/>
              </w:rPr>
            </w:pPr>
          </w:p>
          <w:p w14:paraId="686AA26A" w14:textId="77777777" w:rsidR="009B0B40" w:rsidRPr="00665FCB" w:rsidRDefault="009B0B40" w:rsidP="004429D1">
            <w:pPr>
              <w:rPr>
                <w:b/>
              </w:rPr>
            </w:pPr>
          </w:p>
        </w:tc>
        <w:tc>
          <w:tcPr>
            <w:tcW w:w="6327" w:type="dxa"/>
          </w:tcPr>
          <w:p w14:paraId="5DE5AD0C" w14:textId="77777777" w:rsidR="009B0B40" w:rsidRPr="00665FCB" w:rsidRDefault="009B0B40" w:rsidP="004429D1">
            <w:pPr>
              <w:rPr>
                <w:rFonts w:ascii="EurostileTMed" w:hAnsi="EurostileTMed"/>
                <w:sz w:val="24"/>
                <w:szCs w:val="24"/>
              </w:rPr>
            </w:pPr>
          </w:p>
          <w:p w14:paraId="4F2C9ED1" w14:textId="77777777" w:rsidR="009B0B40" w:rsidRPr="00665FCB" w:rsidRDefault="009B0B40" w:rsidP="004429D1">
            <w:pPr>
              <w:rPr>
                <w:rFonts w:ascii="EurostileTMed" w:hAnsi="EurostileTMed"/>
                <w:sz w:val="24"/>
                <w:szCs w:val="24"/>
              </w:rPr>
            </w:pPr>
          </w:p>
          <w:p w14:paraId="7DD5A29F" w14:textId="77777777" w:rsidR="009B0B40" w:rsidRPr="00665FCB" w:rsidRDefault="009B0B40" w:rsidP="004429D1">
            <w:pPr>
              <w:rPr>
                <w:rFonts w:ascii="EurostileTMed" w:hAnsi="EurostileTMed"/>
                <w:sz w:val="24"/>
                <w:szCs w:val="24"/>
              </w:rPr>
            </w:pPr>
          </w:p>
          <w:p w14:paraId="07CCA0C8" w14:textId="77777777" w:rsidR="009B0B40" w:rsidRDefault="009B0B40" w:rsidP="004429D1">
            <w:pPr>
              <w:rPr>
                <w:rFonts w:ascii="EurostileTMed" w:hAnsi="EurostileTMed"/>
                <w:sz w:val="24"/>
                <w:szCs w:val="24"/>
              </w:rPr>
            </w:pPr>
          </w:p>
          <w:p w14:paraId="5040C53D" w14:textId="77777777" w:rsidR="009B0B40" w:rsidRDefault="009B0B40" w:rsidP="004429D1">
            <w:pPr>
              <w:rPr>
                <w:rFonts w:ascii="EurostileTMed" w:hAnsi="EurostileTMed"/>
                <w:sz w:val="24"/>
                <w:szCs w:val="24"/>
              </w:rPr>
            </w:pPr>
          </w:p>
          <w:p w14:paraId="5FDB91EB" w14:textId="77777777" w:rsidR="009B0B40" w:rsidRDefault="009B0B40" w:rsidP="004429D1">
            <w:pPr>
              <w:rPr>
                <w:rFonts w:ascii="EurostileTMed" w:hAnsi="EurostileTMed"/>
                <w:sz w:val="24"/>
                <w:szCs w:val="24"/>
              </w:rPr>
            </w:pPr>
          </w:p>
          <w:p w14:paraId="0579DFA2" w14:textId="77777777" w:rsidR="009B0B40" w:rsidRPr="00665FCB" w:rsidRDefault="009B0B40" w:rsidP="004429D1">
            <w:pPr>
              <w:rPr>
                <w:rFonts w:ascii="EurostileTMed" w:hAnsi="EurostileTMed"/>
                <w:sz w:val="24"/>
                <w:szCs w:val="24"/>
              </w:rPr>
            </w:pPr>
          </w:p>
          <w:p w14:paraId="2F84F59C" w14:textId="77777777" w:rsidR="009B0B40" w:rsidRDefault="009B0B40" w:rsidP="004429D1">
            <w:pPr>
              <w:rPr>
                <w:rFonts w:ascii="EurostileTMed" w:hAnsi="EurostileTMed"/>
                <w:sz w:val="24"/>
                <w:szCs w:val="24"/>
              </w:rPr>
            </w:pPr>
          </w:p>
          <w:p w14:paraId="1ACF3E83" w14:textId="77777777" w:rsidR="009B0B40" w:rsidRDefault="009B0B40" w:rsidP="004429D1">
            <w:pPr>
              <w:rPr>
                <w:rFonts w:ascii="EurostileTMed" w:hAnsi="EurostileTMed"/>
                <w:sz w:val="24"/>
                <w:szCs w:val="24"/>
              </w:rPr>
            </w:pPr>
          </w:p>
          <w:p w14:paraId="1B9DDD17" w14:textId="77777777" w:rsidR="009B0B40" w:rsidRPr="00665FCB" w:rsidRDefault="009B0B40" w:rsidP="004429D1">
            <w:pPr>
              <w:rPr>
                <w:rFonts w:ascii="EurostileTMed" w:hAnsi="EurostileTMed"/>
                <w:sz w:val="24"/>
                <w:szCs w:val="24"/>
              </w:rPr>
            </w:pPr>
          </w:p>
          <w:p w14:paraId="1237895C" w14:textId="77777777" w:rsidR="009B0B40" w:rsidRPr="00665FCB" w:rsidRDefault="009B0B40" w:rsidP="004429D1">
            <w:pPr>
              <w:rPr>
                <w:rFonts w:ascii="EurostileTMed" w:hAnsi="EurostileTMed"/>
                <w:sz w:val="24"/>
                <w:szCs w:val="24"/>
              </w:rPr>
            </w:pPr>
          </w:p>
          <w:p w14:paraId="779D4544" w14:textId="77777777" w:rsidR="009B0B40" w:rsidRPr="00665FCB" w:rsidRDefault="009B0B40" w:rsidP="004429D1">
            <w:pPr>
              <w:rPr>
                <w:rFonts w:ascii="EurostileTMed" w:hAnsi="EurostileTMed"/>
                <w:sz w:val="24"/>
                <w:szCs w:val="24"/>
              </w:rPr>
            </w:pPr>
          </w:p>
          <w:tbl>
            <w:tblPr>
              <w:tblW w:w="0" w:type="auto"/>
              <w:tblLayout w:type="fixed"/>
              <w:tblLook w:val="00A0" w:firstRow="1" w:lastRow="0" w:firstColumn="1" w:lastColumn="0" w:noHBand="0" w:noVBand="0"/>
            </w:tblPr>
            <w:tblGrid>
              <w:gridCol w:w="5387"/>
            </w:tblGrid>
            <w:tr w:rsidR="009B0B40" w:rsidRPr="00665FCB" w14:paraId="34BA2E17" w14:textId="77777777">
              <w:tc>
                <w:tcPr>
                  <w:tcW w:w="5387" w:type="dxa"/>
                </w:tcPr>
                <w:p w14:paraId="67774068" w14:textId="77777777" w:rsidR="009B0B40" w:rsidRPr="00665FCB" w:rsidRDefault="009A7488" w:rsidP="004429D1">
                  <w:pPr>
                    <w:rPr>
                      <w:rFonts w:ascii="EurostileTMed" w:hAnsi="EurostileTMed"/>
                    </w:rPr>
                  </w:pPr>
                  <w:r>
                    <w:rPr>
                      <w:rFonts w:ascii="EurostileTMed" w:hAnsi="EurostileTMed"/>
                      <w:noProof/>
                      <w:lang w:val="es-ES"/>
                    </w:rPr>
                    <w:drawing>
                      <wp:inline distT="0" distB="0" distL="0" distR="0" wp14:anchorId="4B395E2F" wp14:editId="72DF0ECF">
                        <wp:extent cx="3289300" cy="534670"/>
                        <wp:effectExtent l="19050" t="0" r="6350" b="0"/>
                        <wp:docPr id="2" name="3 Imagen" descr="logo-intia-info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intia-informe.jpg"/>
                                <pic:cNvPicPr>
                                  <a:picLocks noChangeAspect="1" noChangeArrowheads="1"/>
                                </pic:cNvPicPr>
                              </pic:nvPicPr>
                              <pic:blipFill>
                                <a:blip r:embed="rId10"/>
                                <a:srcRect/>
                                <a:stretch>
                                  <a:fillRect/>
                                </a:stretch>
                              </pic:blipFill>
                              <pic:spPr bwMode="auto">
                                <a:xfrm>
                                  <a:off x="0" y="0"/>
                                  <a:ext cx="3289300" cy="534670"/>
                                </a:xfrm>
                                <a:prstGeom prst="rect">
                                  <a:avLst/>
                                </a:prstGeom>
                                <a:noFill/>
                                <a:ln w="9525">
                                  <a:noFill/>
                                  <a:miter lim="800000"/>
                                  <a:headEnd/>
                                  <a:tailEnd/>
                                </a:ln>
                              </pic:spPr>
                            </pic:pic>
                          </a:graphicData>
                        </a:graphic>
                      </wp:inline>
                    </w:drawing>
                  </w:r>
                </w:p>
                <w:p w14:paraId="64EEB59D" w14:textId="77777777" w:rsidR="009B0B40" w:rsidRPr="00665FCB" w:rsidRDefault="009B0B40" w:rsidP="004429D1">
                  <w:pPr>
                    <w:rPr>
                      <w:rFonts w:ascii="EurostileTMed" w:hAnsi="EurostileTMed"/>
                    </w:rPr>
                  </w:pPr>
                </w:p>
              </w:tc>
            </w:tr>
            <w:tr w:rsidR="009B0B40" w:rsidRPr="00665FCB" w14:paraId="03F0F1EE" w14:textId="77777777">
              <w:tc>
                <w:tcPr>
                  <w:tcW w:w="5387" w:type="dxa"/>
                  <w:shd w:val="clear" w:color="auto" w:fill="BFBFBF"/>
                </w:tcPr>
                <w:p w14:paraId="6586EAF7" w14:textId="77777777" w:rsidR="009B0B40" w:rsidRPr="00665FCB" w:rsidRDefault="009B0B40" w:rsidP="004429D1">
                  <w:pPr>
                    <w:rPr>
                      <w:rFonts w:ascii="EurostileTMed" w:hAnsi="EurostileTMed"/>
                      <w:sz w:val="8"/>
                      <w:szCs w:val="8"/>
                    </w:rPr>
                  </w:pPr>
                </w:p>
              </w:tc>
            </w:tr>
            <w:tr w:rsidR="009B0B40" w:rsidRPr="00665FCB" w14:paraId="745437B7" w14:textId="77777777">
              <w:tc>
                <w:tcPr>
                  <w:tcW w:w="5387" w:type="dxa"/>
                </w:tcPr>
                <w:p w14:paraId="4D7DF607" w14:textId="77777777" w:rsidR="009B0B40" w:rsidRPr="00665FCB" w:rsidRDefault="009B0B40" w:rsidP="004429D1">
                  <w:pPr>
                    <w:rPr>
                      <w:rFonts w:ascii="EurostileTMed" w:hAnsi="EurostileTMed"/>
                    </w:rPr>
                  </w:pPr>
                </w:p>
              </w:tc>
            </w:tr>
            <w:tr w:rsidR="009B0B40" w:rsidRPr="00665FCB" w14:paraId="051CB060" w14:textId="77777777">
              <w:tc>
                <w:tcPr>
                  <w:tcW w:w="5387" w:type="dxa"/>
                </w:tcPr>
                <w:p w14:paraId="5DEA6B21" w14:textId="77777777" w:rsidR="009B0B40" w:rsidRPr="004429D1" w:rsidRDefault="009B0B40" w:rsidP="00CF0BCC">
                  <w:pPr>
                    <w:jc w:val="center"/>
                    <w:rPr>
                      <w:rFonts w:ascii="EurostileTMed" w:hAnsi="EurostileTMed"/>
                      <w:color w:val="005BA6"/>
                      <w:sz w:val="72"/>
                      <w:szCs w:val="72"/>
                    </w:rPr>
                  </w:pPr>
                  <w:r w:rsidRPr="004429D1">
                    <w:rPr>
                      <w:rFonts w:ascii="EurostileTMed" w:hAnsi="EurostileTMed"/>
                      <w:color w:val="005BA6"/>
                      <w:sz w:val="72"/>
                      <w:szCs w:val="72"/>
                    </w:rPr>
                    <w:t xml:space="preserve">Cuentas Anuales </w:t>
                  </w:r>
                  <w:r>
                    <w:rPr>
                      <w:rFonts w:ascii="EurostileTMed" w:hAnsi="EurostileTMed"/>
                      <w:color w:val="005BA6"/>
                      <w:sz w:val="72"/>
                      <w:szCs w:val="72"/>
                    </w:rPr>
                    <w:t>201</w:t>
                  </w:r>
                  <w:r w:rsidR="00CF0BCC">
                    <w:rPr>
                      <w:rFonts w:ascii="EurostileTMed" w:hAnsi="EurostileTMed"/>
                      <w:color w:val="005BA6"/>
                      <w:sz w:val="72"/>
                      <w:szCs w:val="72"/>
                    </w:rPr>
                    <w:t>9</w:t>
                  </w:r>
                </w:p>
              </w:tc>
            </w:tr>
          </w:tbl>
          <w:p w14:paraId="38A70F1E" w14:textId="77777777" w:rsidR="009B0B40" w:rsidRPr="00665FCB" w:rsidRDefault="009B0B40" w:rsidP="004429D1">
            <w:pPr>
              <w:rPr>
                <w:rFonts w:ascii="EurostileTMed" w:hAnsi="EurostileTMed"/>
              </w:rPr>
            </w:pPr>
          </w:p>
          <w:p w14:paraId="7BFBCD3C" w14:textId="77777777" w:rsidR="009B0B40" w:rsidRPr="00665FCB" w:rsidRDefault="009B0B40" w:rsidP="004429D1">
            <w:pPr>
              <w:rPr>
                <w:rFonts w:ascii="EurostileTMed" w:hAnsi="EurostileTMed"/>
              </w:rPr>
            </w:pPr>
          </w:p>
          <w:p w14:paraId="05FD60C0" w14:textId="77777777" w:rsidR="009B0B40" w:rsidRPr="00665FCB" w:rsidRDefault="009B0B40" w:rsidP="004429D1">
            <w:pPr>
              <w:rPr>
                <w:rFonts w:ascii="EurostileTMed" w:hAnsi="EurostileTMed"/>
              </w:rPr>
            </w:pPr>
          </w:p>
          <w:p w14:paraId="6475533B" w14:textId="77777777" w:rsidR="009B0B40" w:rsidRPr="00665FCB" w:rsidRDefault="009B0B40" w:rsidP="004429D1">
            <w:pPr>
              <w:rPr>
                <w:rFonts w:ascii="EurostileTMed" w:hAnsi="EurostileTMed"/>
              </w:rPr>
            </w:pPr>
          </w:p>
          <w:p w14:paraId="0406E218" w14:textId="77777777" w:rsidR="009B0B40" w:rsidRDefault="009B0B40" w:rsidP="004429D1">
            <w:pPr>
              <w:rPr>
                <w:rFonts w:ascii="EurostileTMed" w:hAnsi="EurostileTMed"/>
              </w:rPr>
            </w:pPr>
          </w:p>
          <w:p w14:paraId="171C562A" w14:textId="77777777" w:rsidR="009B0B40" w:rsidRDefault="009B0B40" w:rsidP="004429D1">
            <w:pPr>
              <w:rPr>
                <w:rFonts w:ascii="EurostileTMed" w:hAnsi="EurostileTMed"/>
              </w:rPr>
            </w:pPr>
          </w:p>
          <w:p w14:paraId="35223983" w14:textId="77777777" w:rsidR="009B0B40" w:rsidRDefault="009B0B40" w:rsidP="004429D1">
            <w:pPr>
              <w:rPr>
                <w:rFonts w:ascii="EurostileTMed" w:hAnsi="EurostileTMed"/>
              </w:rPr>
            </w:pPr>
          </w:p>
          <w:p w14:paraId="7D052F87" w14:textId="77777777" w:rsidR="009B0B40" w:rsidRDefault="009B0B40" w:rsidP="004429D1">
            <w:pPr>
              <w:rPr>
                <w:rFonts w:ascii="EurostileTMed" w:hAnsi="EurostileTMed"/>
              </w:rPr>
            </w:pPr>
          </w:p>
          <w:p w14:paraId="4AFD3F2F" w14:textId="77777777" w:rsidR="009B0B40" w:rsidRDefault="009B0B40" w:rsidP="004429D1">
            <w:pPr>
              <w:rPr>
                <w:rFonts w:ascii="EurostileTMed" w:hAnsi="EurostileTMed"/>
              </w:rPr>
            </w:pPr>
          </w:p>
          <w:p w14:paraId="706DD2B3" w14:textId="77777777" w:rsidR="009B0B40" w:rsidRDefault="009B0B40" w:rsidP="004429D1">
            <w:pPr>
              <w:rPr>
                <w:rFonts w:ascii="EurostileTMed" w:hAnsi="EurostileTMed"/>
              </w:rPr>
            </w:pPr>
          </w:p>
          <w:p w14:paraId="40391B0F" w14:textId="77777777" w:rsidR="009B0B40" w:rsidRDefault="009B0B40" w:rsidP="004429D1">
            <w:pPr>
              <w:rPr>
                <w:rFonts w:ascii="EurostileTMed" w:hAnsi="EurostileTMed"/>
              </w:rPr>
            </w:pPr>
          </w:p>
          <w:p w14:paraId="69CFD601" w14:textId="77777777" w:rsidR="009B0B40" w:rsidRDefault="009B0B40" w:rsidP="004429D1">
            <w:pPr>
              <w:rPr>
                <w:rFonts w:ascii="EurostileTMed" w:hAnsi="EurostileTMed"/>
              </w:rPr>
            </w:pPr>
          </w:p>
          <w:p w14:paraId="6551D01C" w14:textId="77777777" w:rsidR="009B0B40" w:rsidRDefault="009B0B40" w:rsidP="004429D1">
            <w:pPr>
              <w:rPr>
                <w:rFonts w:ascii="EurostileTMed" w:hAnsi="EurostileTMed"/>
              </w:rPr>
            </w:pPr>
          </w:p>
          <w:p w14:paraId="0EA9A3A8" w14:textId="77777777" w:rsidR="009B0B40" w:rsidRDefault="009B0B40" w:rsidP="004429D1">
            <w:pPr>
              <w:rPr>
                <w:rFonts w:ascii="EurostileTMed" w:hAnsi="EurostileTMed"/>
              </w:rPr>
            </w:pPr>
          </w:p>
          <w:p w14:paraId="1CF82393" w14:textId="77777777" w:rsidR="009B0B40" w:rsidRDefault="009B0B40" w:rsidP="004429D1">
            <w:pPr>
              <w:rPr>
                <w:rFonts w:ascii="EurostileTMed" w:hAnsi="EurostileTMed"/>
              </w:rPr>
            </w:pPr>
          </w:p>
          <w:p w14:paraId="76797313" w14:textId="77777777" w:rsidR="009B0B40" w:rsidRPr="00665FCB" w:rsidRDefault="009B0B40" w:rsidP="004429D1">
            <w:pPr>
              <w:rPr>
                <w:rFonts w:ascii="EurostileTMed" w:hAnsi="EurostileTMed"/>
              </w:rPr>
            </w:pPr>
          </w:p>
          <w:p w14:paraId="2C409458" w14:textId="77777777" w:rsidR="009B0B40" w:rsidRDefault="009B0B40" w:rsidP="004429D1">
            <w:pPr>
              <w:rPr>
                <w:rFonts w:ascii="EurostileTMed" w:hAnsi="EurostileTMed"/>
              </w:rPr>
            </w:pPr>
          </w:p>
          <w:p w14:paraId="4487B1EF" w14:textId="77777777" w:rsidR="009B0B40" w:rsidRDefault="009B0B40" w:rsidP="004429D1">
            <w:pPr>
              <w:rPr>
                <w:rFonts w:ascii="EurostileTMed" w:hAnsi="EurostileTMed"/>
              </w:rPr>
            </w:pPr>
          </w:p>
          <w:p w14:paraId="24C1FFFB" w14:textId="77777777" w:rsidR="009B0B40" w:rsidRDefault="009B0B40" w:rsidP="004429D1">
            <w:pPr>
              <w:rPr>
                <w:rFonts w:ascii="EurostileTMed" w:hAnsi="EurostileTMed"/>
              </w:rPr>
            </w:pPr>
          </w:p>
          <w:p w14:paraId="41861813" w14:textId="77777777" w:rsidR="009B0B40" w:rsidRPr="00665FCB" w:rsidRDefault="009B0B40" w:rsidP="004429D1">
            <w:pPr>
              <w:rPr>
                <w:rFonts w:ascii="EurostileTMed" w:hAnsi="EurostileTMed"/>
              </w:rPr>
            </w:pPr>
          </w:p>
          <w:p w14:paraId="50566D37" w14:textId="77777777" w:rsidR="009B0B40" w:rsidRPr="00665FCB" w:rsidRDefault="009B0B40" w:rsidP="004429D1">
            <w:pPr>
              <w:rPr>
                <w:rFonts w:ascii="EurostileTMed" w:hAnsi="EurostileTMed"/>
              </w:rPr>
            </w:pPr>
          </w:p>
          <w:p w14:paraId="1EA8A86E" w14:textId="3100A1E4" w:rsidR="009B0B40" w:rsidRDefault="0023419D" w:rsidP="00007F53">
            <w:pPr>
              <w:jc w:val="right"/>
              <w:rPr>
                <w:rFonts w:ascii="EurostileTMed" w:hAnsi="EurostileTMed"/>
                <w:color w:val="1F497D"/>
                <w:sz w:val="28"/>
                <w:szCs w:val="28"/>
              </w:rPr>
            </w:pPr>
            <w:r>
              <w:rPr>
                <w:rFonts w:ascii="EurostileTMed" w:hAnsi="EurostileTMed"/>
                <w:color w:val="1F497D"/>
                <w:sz w:val="28"/>
                <w:szCs w:val="28"/>
              </w:rPr>
              <w:t>Mayo</w:t>
            </w:r>
            <w:r w:rsidR="009B0B40">
              <w:rPr>
                <w:rFonts w:ascii="EurostileTMed" w:hAnsi="EurostileTMed"/>
                <w:color w:val="1F497D"/>
                <w:sz w:val="28"/>
                <w:szCs w:val="28"/>
              </w:rPr>
              <w:t xml:space="preserve">  20</w:t>
            </w:r>
            <w:r w:rsidR="00CF0BCC">
              <w:rPr>
                <w:rFonts w:ascii="EurostileTMed" w:hAnsi="EurostileTMed"/>
                <w:color w:val="1F497D"/>
                <w:sz w:val="28"/>
                <w:szCs w:val="28"/>
              </w:rPr>
              <w:t>20</w:t>
            </w:r>
          </w:p>
          <w:p w14:paraId="47524872" w14:textId="77777777" w:rsidR="00D43113" w:rsidRPr="00622DD4" w:rsidRDefault="00D43113" w:rsidP="00834D11">
            <w:pPr>
              <w:rPr>
                <w:color w:val="1F497D"/>
                <w:sz w:val="28"/>
                <w:szCs w:val="28"/>
              </w:rPr>
            </w:pPr>
          </w:p>
        </w:tc>
      </w:tr>
    </w:tbl>
    <w:p w14:paraId="5D4FA8FE" w14:textId="77777777" w:rsidR="009B0B40" w:rsidRDefault="009B0B40" w:rsidP="00294D74">
      <w:pPr>
        <w:spacing w:line="360" w:lineRule="auto"/>
        <w:rPr>
          <w:rFonts w:ascii="Arial Narrow" w:hAnsi="Arial Narrow"/>
          <w:b/>
          <w:sz w:val="22"/>
          <w:szCs w:val="22"/>
          <w:u w:val="single"/>
          <w:lang w:val="es-ES"/>
        </w:rPr>
        <w:sectPr w:rsidR="009B0B40" w:rsidSect="00716342">
          <w:headerReference w:type="default" r:id="rId11"/>
          <w:footerReference w:type="default" r:id="rId12"/>
          <w:pgSz w:w="11907" w:h="16840" w:code="9"/>
          <w:pgMar w:top="1134" w:right="1701" w:bottom="1134" w:left="1701" w:header="567" w:footer="851" w:gutter="0"/>
          <w:paperSrc w:first="1458" w:other="1458"/>
          <w:cols w:space="720"/>
          <w:noEndnote/>
          <w:titlePg/>
          <w:docGrid w:linePitch="272"/>
        </w:sectPr>
      </w:pPr>
    </w:p>
    <w:p w14:paraId="5412EED1" w14:textId="77777777" w:rsidR="00E36D01" w:rsidRDefault="00D251B8" w:rsidP="00007F53">
      <w:pPr>
        <w:tabs>
          <w:tab w:val="left" w:pos="9072"/>
        </w:tabs>
        <w:jc w:val="center"/>
        <w:rPr>
          <w:rFonts w:ascii="Arial" w:hAnsi="Arial" w:cs="Arial"/>
          <w:b/>
          <w:color w:val="005BA6"/>
          <w:sz w:val="28"/>
          <w:szCs w:val="28"/>
          <w:lang w:val="en-US"/>
        </w:rPr>
      </w:pPr>
      <w:r w:rsidRPr="00D251B8">
        <w:rPr>
          <w:noProof/>
          <w:lang w:val="es-ES"/>
        </w:rPr>
        <w:lastRenderedPageBreak/>
        <w:drawing>
          <wp:inline distT="0" distB="0" distL="0" distR="0" wp14:anchorId="7247FDF4" wp14:editId="4EE66310">
            <wp:extent cx="5760720" cy="823284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32840"/>
                    </a:xfrm>
                    <a:prstGeom prst="rect">
                      <a:avLst/>
                    </a:prstGeom>
                    <a:noFill/>
                    <a:ln>
                      <a:noFill/>
                    </a:ln>
                  </pic:spPr>
                </pic:pic>
              </a:graphicData>
            </a:graphic>
          </wp:inline>
        </w:drawing>
      </w:r>
    </w:p>
    <w:p w14:paraId="756099E5" w14:textId="77777777" w:rsidR="00624CB1" w:rsidRDefault="009B0B40" w:rsidP="00007F53">
      <w:pPr>
        <w:jc w:val="center"/>
        <w:rPr>
          <w:rFonts w:ascii="Arial" w:hAnsi="Arial" w:cs="Arial"/>
          <w:b/>
          <w:color w:val="005BA6"/>
          <w:sz w:val="28"/>
          <w:szCs w:val="28"/>
          <w:lang w:val="en-US"/>
        </w:rPr>
      </w:pPr>
      <w:r>
        <w:rPr>
          <w:rFonts w:ascii="Arial" w:hAnsi="Arial" w:cs="Arial"/>
          <w:b/>
          <w:color w:val="005BA6"/>
          <w:sz w:val="28"/>
          <w:szCs w:val="28"/>
          <w:lang w:val="en-US"/>
        </w:rPr>
        <w:br w:type="page"/>
      </w:r>
      <w:r w:rsidR="00D251B8" w:rsidRPr="00D251B8">
        <w:rPr>
          <w:noProof/>
          <w:lang w:val="es-ES"/>
        </w:rPr>
        <w:lastRenderedPageBreak/>
        <w:drawing>
          <wp:inline distT="0" distB="0" distL="0" distR="0" wp14:anchorId="77734C87" wp14:editId="1D4BD094">
            <wp:extent cx="5760720" cy="7464240"/>
            <wp:effectExtent l="0" t="0" r="0" b="381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464240"/>
                    </a:xfrm>
                    <a:prstGeom prst="rect">
                      <a:avLst/>
                    </a:prstGeom>
                    <a:noFill/>
                    <a:ln>
                      <a:noFill/>
                    </a:ln>
                  </pic:spPr>
                </pic:pic>
              </a:graphicData>
            </a:graphic>
          </wp:inline>
        </w:drawing>
      </w:r>
    </w:p>
    <w:p w14:paraId="15FCDB75" w14:textId="77777777" w:rsidR="00624CB1" w:rsidRDefault="00624CB1" w:rsidP="0052522E">
      <w:pPr>
        <w:jc w:val="center"/>
        <w:rPr>
          <w:rFonts w:ascii="Arial" w:hAnsi="Arial" w:cs="Arial"/>
          <w:b/>
          <w:color w:val="005BA6"/>
          <w:sz w:val="28"/>
          <w:szCs w:val="28"/>
          <w:lang w:val="en-US"/>
        </w:rPr>
      </w:pPr>
    </w:p>
    <w:p w14:paraId="207BD552" w14:textId="77777777" w:rsidR="00656B99" w:rsidRDefault="00A53352" w:rsidP="00007F53">
      <w:pPr>
        <w:jc w:val="center"/>
      </w:pPr>
      <w:r w:rsidRPr="00A53352">
        <w:rPr>
          <w:noProof/>
          <w:lang w:val="es-ES"/>
        </w:rPr>
        <w:drawing>
          <wp:inline distT="0" distB="0" distL="0" distR="0" wp14:anchorId="008D8939" wp14:editId="50D5FFCF">
            <wp:extent cx="5760720" cy="705469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054695"/>
                    </a:xfrm>
                    <a:prstGeom prst="rect">
                      <a:avLst/>
                    </a:prstGeom>
                    <a:noFill/>
                    <a:ln>
                      <a:noFill/>
                    </a:ln>
                  </pic:spPr>
                </pic:pic>
              </a:graphicData>
            </a:graphic>
          </wp:inline>
        </w:drawing>
      </w:r>
      <w:r w:rsidR="009B0B40">
        <w:rPr>
          <w:rFonts w:ascii="Arial" w:hAnsi="Arial" w:cs="Arial"/>
          <w:b/>
          <w:color w:val="005BA6"/>
          <w:sz w:val="28"/>
          <w:szCs w:val="28"/>
          <w:lang w:val="en-US"/>
        </w:rPr>
        <w:br w:type="page"/>
      </w:r>
    </w:p>
    <w:p w14:paraId="49B37F02" w14:textId="77777777" w:rsidR="00656B99" w:rsidRDefault="00A53352" w:rsidP="00007F53">
      <w:pPr>
        <w:spacing w:line="360" w:lineRule="auto"/>
        <w:jc w:val="center"/>
      </w:pPr>
      <w:r w:rsidRPr="00A53352">
        <w:rPr>
          <w:noProof/>
          <w:lang w:val="es-ES"/>
        </w:rPr>
        <w:drawing>
          <wp:inline distT="0" distB="0" distL="0" distR="0" wp14:anchorId="3CC39991" wp14:editId="36E72E29">
            <wp:extent cx="5760720" cy="5456292"/>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456292"/>
                    </a:xfrm>
                    <a:prstGeom prst="rect">
                      <a:avLst/>
                    </a:prstGeom>
                    <a:noFill/>
                    <a:ln>
                      <a:noFill/>
                    </a:ln>
                  </pic:spPr>
                </pic:pic>
              </a:graphicData>
            </a:graphic>
          </wp:inline>
        </w:drawing>
      </w:r>
      <w:r w:rsidR="00656B99" w:rsidRPr="00656B99">
        <w:t xml:space="preserve"> </w:t>
      </w:r>
    </w:p>
    <w:p w14:paraId="061C4FDD" w14:textId="77777777" w:rsidR="00656B99" w:rsidRDefault="00656B99" w:rsidP="006F75ED">
      <w:pPr>
        <w:spacing w:line="360" w:lineRule="auto"/>
        <w:jc w:val="center"/>
      </w:pPr>
    </w:p>
    <w:p w14:paraId="0730867D" w14:textId="77777777" w:rsidR="00656B99" w:rsidRDefault="00656B99" w:rsidP="006F75ED">
      <w:pPr>
        <w:spacing w:line="360" w:lineRule="auto"/>
        <w:jc w:val="center"/>
      </w:pPr>
    </w:p>
    <w:p w14:paraId="6BA41B89" w14:textId="77777777" w:rsidR="00656B99" w:rsidRDefault="00656B99" w:rsidP="006F75ED">
      <w:pPr>
        <w:spacing w:line="360" w:lineRule="auto"/>
        <w:jc w:val="center"/>
      </w:pPr>
    </w:p>
    <w:p w14:paraId="11C14478" w14:textId="77777777" w:rsidR="00CB4684" w:rsidRDefault="009B0B40" w:rsidP="00CB4684">
      <w:pPr>
        <w:spacing w:line="360" w:lineRule="auto"/>
        <w:jc w:val="center"/>
        <w:rPr>
          <w:rFonts w:ascii="Arial" w:hAnsi="Arial" w:cs="Arial"/>
          <w:b/>
          <w:color w:val="005BA6"/>
          <w:sz w:val="28"/>
          <w:szCs w:val="28"/>
          <w:lang w:val="en-US"/>
        </w:rPr>
        <w:sectPr w:rsidR="00CB4684" w:rsidSect="00AB7C5B">
          <w:pgSz w:w="11907" w:h="16840" w:code="9"/>
          <w:pgMar w:top="2097" w:right="1417" w:bottom="1418" w:left="1418" w:header="567" w:footer="172" w:gutter="0"/>
          <w:paperSrc w:first="1" w:other="1"/>
          <w:cols w:space="720"/>
          <w:noEndnote/>
        </w:sectPr>
      </w:pPr>
      <w:r>
        <w:rPr>
          <w:rFonts w:ascii="Arial" w:hAnsi="Arial" w:cs="Arial"/>
          <w:b/>
          <w:color w:val="005BA6"/>
          <w:sz w:val="28"/>
          <w:szCs w:val="28"/>
          <w:lang w:val="en-US"/>
        </w:rPr>
        <w:br w:type="page"/>
      </w:r>
    </w:p>
    <w:p w14:paraId="3E6C6013" w14:textId="77777777" w:rsidR="00CB4684" w:rsidRDefault="00CB4684">
      <w:pPr>
        <w:rPr>
          <w:noProof/>
          <w:lang w:val="es-ES"/>
        </w:rPr>
      </w:pPr>
    </w:p>
    <w:p w14:paraId="5EAE8062" w14:textId="77777777" w:rsidR="0014201D" w:rsidRDefault="00166CC8" w:rsidP="0014201D">
      <w:pPr>
        <w:jc w:val="center"/>
        <w:rPr>
          <w:rFonts w:ascii="Arial" w:hAnsi="Arial" w:cs="Arial"/>
          <w:b/>
          <w:color w:val="005BA6"/>
          <w:sz w:val="28"/>
          <w:szCs w:val="28"/>
          <w:lang w:val="en-US"/>
        </w:rPr>
      </w:pPr>
      <w:r w:rsidRPr="00166CC8">
        <w:rPr>
          <w:noProof/>
          <w:lang w:val="es-ES"/>
        </w:rPr>
        <w:drawing>
          <wp:inline distT="0" distB="0" distL="0" distR="0" wp14:anchorId="5DE2B69B" wp14:editId="5D843EBC">
            <wp:extent cx="8460740" cy="316623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60740" cy="3166237"/>
                    </a:xfrm>
                    <a:prstGeom prst="rect">
                      <a:avLst/>
                    </a:prstGeom>
                    <a:noFill/>
                    <a:ln>
                      <a:noFill/>
                    </a:ln>
                  </pic:spPr>
                </pic:pic>
              </a:graphicData>
            </a:graphic>
          </wp:inline>
        </w:drawing>
      </w:r>
    </w:p>
    <w:p w14:paraId="67801461" w14:textId="77777777" w:rsidR="00CB4684" w:rsidRDefault="00CB4684">
      <w:pPr>
        <w:rPr>
          <w:rFonts w:ascii="Arial" w:hAnsi="Arial" w:cs="Arial"/>
          <w:b/>
          <w:color w:val="005BA6"/>
          <w:sz w:val="28"/>
          <w:szCs w:val="28"/>
          <w:lang w:val="en-US"/>
        </w:rPr>
      </w:pPr>
    </w:p>
    <w:p w14:paraId="379AB2D8" w14:textId="77777777" w:rsidR="00CB4684" w:rsidRDefault="00CB4684">
      <w:pPr>
        <w:rPr>
          <w:rFonts w:ascii="Arial" w:hAnsi="Arial" w:cs="Arial"/>
          <w:b/>
          <w:color w:val="005BA6"/>
          <w:sz w:val="28"/>
          <w:szCs w:val="28"/>
          <w:lang w:val="en-US"/>
        </w:rPr>
      </w:pPr>
      <w:r>
        <w:rPr>
          <w:rFonts w:ascii="Arial" w:hAnsi="Arial" w:cs="Arial"/>
          <w:b/>
          <w:color w:val="005BA6"/>
          <w:sz w:val="28"/>
          <w:szCs w:val="28"/>
          <w:lang w:val="en-US"/>
        </w:rPr>
        <w:br w:type="page"/>
      </w:r>
    </w:p>
    <w:p w14:paraId="44CBC7A2" w14:textId="77777777" w:rsidR="00CB4684" w:rsidRDefault="00CB4684" w:rsidP="00CB4684">
      <w:pPr>
        <w:spacing w:line="360" w:lineRule="auto"/>
        <w:rPr>
          <w:rFonts w:ascii="Arial" w:hAnsi="Arial" w:cs="Arial"/>
          <w:b/>
          <w:color w:val="005BA6"/>
          <w:sz w:val="28"/>
          <w:szCs w:val="28"/>
          <w:lang w:val="en-US"/>
        </w:rPr>
        <w:sectPr w:rsidR="00CB4684" w:rsidSect="00CB4684">
          <w:headerReference w:type="default" r:id="rId18"/>
          <w:footerReference w:type="default" r:id="rId19"/>
          <w:pgSz w:w="16840" w:h="11907" w:orient="landscape" w:code="9"/>
          <w:pgMar w:top="1418" w:right="1418" w:bottom="1418" w:left="2098" w:header="567" w:footer="170" w:gutter="0"/>
          <w:paperSrc w:first="7" w:other="7"/>
          <w:cols w:space="720"/>
          <w:noEndnote/>
        </w:sectPr>
      </w:pPr>
    </w:p>
    <w:p w14:paraId="58B67069" w14:textId="77777777" w:rsidR="00400E76" w:rsidRDefault="00AB54D3" w:rsidP="00007F53">
      <w:pPr>
        <w:spacing w:line="360" w:lineRule="auto"/>
        <w:jc w:val="center"/>
      </w:pPr>
      <w:r w:rsidRPr="00AB54D3">
        <w:rPr>
          <w:noProof/>
          <w:lang w:val="es-ES"/>
        </w:rPr>
        <w:drawing>
          <wp:inline distT="0" distB="0" distL="0" distR="0" wp14:anchorId="356797C0" wp14:editId="62357857">
            <wp:extent cx="5232042" cy="7823200"/>
            <wp:effectExtent l="0" t="0" r="698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6098" cy="7829265"/>
                    </a:xfrm>
                    <a:prstGeom prst="rect">
                      <a:avLst/>
                    </a:prstGeom>
                    <a:noFill/>
                    <a:ln>
                      <a:noFill/>
                    </a:ln>
                  </pic:spPr>
                </pic:pic>
              </a:graphicData>
            </a:graphic>
          </wp:inline>
        </w:drawing>
      </w:r>
    </w:p>
    <w:p w14:paraId="6A034ED3" w14:textId="77777777" w:rsidR="009B0B40" w:rsidRDefault="00AB54D3" w:rsidP="00007F53">
      <w:pPr>
        <w:spacing w:line="360" w:lineRule="auto"/>
        <w:jc w:val="center"/>
        <w:rPr>
          <w:rFonts w:ascii="Arial" w:hAnsi="Arial" w:cs="Arial"/>
          <w:b/>
          <w:color w:val="005BA6"/>
          <w:sz w:val="28"/>
          <w:szCs w:val="28"/>
          <w:lang w:val="en-US"/>
        </w:rPr>
      </w:pPr>
      <w:r w:rsidRPr="00AB54D3">
        <w:rPr>
          <w:noProof/>
          <w:lang w:val="es-ES"/>
        </w:rPr>
        <w:drawing>
          <wp:inline distT="0" distB="0" distL="0" distR="0" wp14:anchorId="38568868" wp14:editId="6ABBDFB6">
            <wp:extent cx="5760720" cy="4756474"/>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756474"/>
                    </a:xfrm>
                    <a:prstGeom prst="rect">
                      <a:avLst/>
                    </a:prstGeom>
                    <a:noFill/>
                    <a:ln>
                      <a:noFill/>
                    </a:ln>
                  </pic:spPr>
                </pic:pic>
              </a:graphicData>
            </a:graphic>
          </wp:inline>
        </w:drawing>
      </w:r>
      <w:r w:rsidR="009B0B40">
        <w:rPr>
          <w:rFonts w:ascii="Arial" w:hAnsi="Arial" w:cs="Arial"/>
          <w:b/>
          <w:color w:val="005BA6"/>
          <w:sz w:val="28"/>
          <w:szCs w:val="28"/>
          <w:lang w:val="en-US"/>
        </w:rPr>
        <w:br w:type="page"/>
      </w:r>
    </w:p>
    <w:p w14:paraId="1BF3D6F6" w14:textId="77777777" w:rsidR="009B0B40" w:rsidRPr="004F1E37" w:rsidRDefault="009B0B40" w:rsidP="00302FA7">
      <w:pPr>
        <w:spacing w:line="360" w:lineRule="auto"/>
        <w:jc w:val="center"/>
        <w:rPr>
          <w:rFonts w:ascii="Arial" w:hAnsi="Arial" w:cs="Arial"/>
          <w:b/>
          <w:color w:val="005BA6"/>
          <w:sz w:val="28"/>
          <w:szCs w:val="28"/>
          <w:lang w:val="en-US"/>
        </w:rPr>
      </w:pPr>
      <w:r w:rsidRPr="004F1E37">
        <w:rPr>
          <w:rFonts w:ascii="Arial" w:hAnsi="Arial" w:cs="Arial"/>
          <w:b/>
          <w:color w:val="005BA6"/>
          <w:sz w:val="28"/>
          <w:szCs w:val="28"/>
          <w:lang w:val="en-US"/>
        </w:rPr>
        <w:t>I N D I C E</w:t>
      </w:r>
    </w:p>
    <w:p w14:paraId="748A5AD4" w14:textId="77777777" w:rsidR="009B0B40" w:rsidRPr="004F1E37" w:rsidRDefault="009B0B40" w:rsidP="005A20FC">
      <w:pPr>
        <w:spacing w:line="360" w:lineRule="auto"/>
        <w:ind w:left="426" w:hanging="426"/>
        <w:rPr>
          <w:rFonts w:ascii="Arial" w:hAnsi="Arial" w:cs="Arial"/>
          <w:b/>
          <w:color w:val="005BA6"/>
          <w:sz w:val="24"/>
          <w:szCs w:val="24"/>
          <w:lang w:val="en-US"/>
        </w:rPr>
      </w:pPr>
      <w:r w:rsidRPr="004F1E37">
        <w:rPr>
          <w:rFonts w:ascii="Arial" w:hAnsi="Arial" w:cs="Arial"/>
          <w:b/>
          <w:color w:val="005BA6"/>
          <w:sz w:val="24"/>
          <w:szCs w:val="24"/>
          <w:lang w:val="en-US"/>
        </w:rPr>
        <w:t>MEMORIA</w:t>
      </w:r>
    </w:p>
    <w:p w14:paraId="7ACB7172" w14:textId="77777777" w:rsidR="009B0B40" w:rsidRPr="00A34A67" w:rsidRDefault="009B0B40" w:rsidP="00B54ACC">
      <w:pPr>
        <w:tabs>
          <w:tab w:val="left" w:pos="567"/>
          <w:tab w:val="right" w:pos="7230"/>
          <w:tab w:val="right" w:pos="9214"/>
        </w:tabs>
        <w:jc w:val="center"/>
        <w:rPr>
          <w:rFonts w:ascii="Arial" w:hAnsi="Arial"/>
          <w:b/>
          <w:lang w:val="en-US"/>
        </w:rPr>
      </w:pPr>
    </w:p>
    <w:p w14:paraId="69CC1B1F" w14:textId="77777777" w:rsidR="009B0B40" w:rsidRDefault="001D34F5" w:rsidP="0002562E">
      <w:pPr>
        <w:pStyle w:val="TDC1"/>
        <w:rPr>
          <w:rFonts w:ascii="Calibri" w:hAnsi="Calibri"/>
          <w:noProof/>
          <w:sz w:val="22"/>
          <w:szCs w:val="22"/>
          <w:lang w:val="es-ES"/>
        </w:rPr>
      </w:pPr>
      <w:r>
        <w:rPr>
          <w:b/>
        </w:rPr>
        <w:fldChar w:fldCharType="begin"/>
      </w:r>
      <w:r w:rsidR="009B0B40">
        <w:rPr>
          <w:b/>
        </w:rPr>
        <w:instrText xml:space="preserve"> TOC \o "1-1" \h \z \u </w:instrText>
      </w:r>
      <w:r>
        <w:rPr>
          <w:b/>
        </w:rPr>
        <w:fldChar w:fldCharType="separate"/>
      </w:r>
      <w:hyperlink w:anchor="_Toc350855610" w:history="1">
        <w:r w:rsidR="009B0B40" w:rsidRPr="00B337E3">
          <w:rPr>
            <w:rStyle w:val="Hipervnculo"/>
            <w:noProof/>
          </w:rPr>
          <w:t>1. ACTIVIDAD DE LA EMPRESA</w:t>
        </w:r>
        <w:r w:rsidR="009B0B40">
          <w:rPr>
            <w:noProof/>
            <w:webHidden/>
          </w:rPr>
          <w:tab/>
        </w:r>
        <w:r>
          <w:rPr>
            <w:noProof/>
            <w:webHidden/>
          </w:rPr>
          <w:fldChar w:fldCharType="begin"/>
        </w:r>
        <w:r w:rsidR="009B0B40">
          <w:rPr>
            <w:noProof/>
            <w:webHidden/>
          </w:rPr>
          <w:instrText xml:space="preserve"> PAGEREF _Toc350855610 \h </w:instrText>
        </w:r>
        <w:r>
          <w:rPr>
            <w:noProof/>
            <w:webHidden/>
          </w:rPr>
        </w:r>
        <w:r>
          <w:rPr>
            <w:noProof/>
            <w:webHidden/>
          </w:rPr>
          <w:fldChar w:fldCharType="separate"/>
        </w:r>
        <w:r w:rsidR="00DD78C3">
          <w:rPr>
            <w:noProof/>
            <w:webHidden/>
          </w:rPr>
          <w:t>10</w:t>
        </w:r>
        <w:r>
          <w:rPr>
            <w:noProof/>
            <w:webHidden/>
          </w:rPr>
          <w:fldChar w:fldCharType="end"/>
        </w:r>
      </w:hyperlink>
    </w:p>
    <w:p w14:paraId="56396614" w14:textId="77777777" w:rsidR="00DB5D1D" w:rsidRPr="00DB5D1D" w:rsidRDefault="00DD78C3" w:rsidP="0002562E">
      <w:pPr>
        <w:pStyle w:val="TDC1"/>
        <w:rPr>
          <w:noProof/>
        </w:rPr>
      </w:pPr>
      <w:hyperlink w:anchor="_Toc350855611" w:history="1">
        <w:r w:rsidR="009B0B40" w:rsidRPr="00B337E3">
          <w:rPr>
            <w:rStyle w:val="Hipervnculo"/>
            <w:noProof/>
          </w:rPr>
          <w:t>2. BASES DE PRESENTACIÓN DE LAS CUENTAS ANUALES</w:t>
        </w:r>
        <w:r w:rsidR="009B0B40">
          <w:rPr>
            <w:noProof/>
            <w:webHidden/>
          </w:rPr>
          <w:tab/>
        </w:r>
      </w:hyperlink>
      <w:r w:rsidR="008139A3">
        <w:rPr>
          <w:noProof/>
        </w:rPr>
        <w:t>1</w:t>
      </w:r>
      <w:r w:rsidR="00DB5D1D">
        <w:rPr>
          <w:noProof/>
        </w:rPr>
        <w:t>2</w:t>
      </w:r>
    </w:p>
    <w:p w14:paraId="730DE3BB" w14:textId="77777777" w:rsidR="009B0B40" w:rsidRDefault="00DD78C3" w:rsidP="0002562E">
      <w:pPr>
        <w:pStyle w:val="TDC1"/>
        <w:rPr>
          <w:rFonts w:ascii="Calibri" w:hAnsi="Calibri"/>
          <w:noProof/>
          <w:sz w:val="22"/>
          <w:szCs w:val="22"/>
          <w:lang w:val="es-ES"/>
        </w:rPr>
      </w:pPr>
      <w:hyperlink w:anchor="_Toc350855612" w:history="1">
        <w:r w:rsidR="009B0B40" w:rsidRPr="00B337E3">
          <w:rPr>
            <w:rStyle w:val="Hipervnculo"/>
            <w:noProof/>
          </w:rPr>
          <w:t>3. APLICACIÓN DE RESULTADOS</w:t>
        </w:r>
        <w:r w:rsidR="009B0B40">
          <w:rPr>
            <w:noProof/>
            <w:webHidden/>
          </w:rPr>
          <w:tab/>
        </w:r>
      </w:hyperlink>
      <w:r w:rsidR="008139A3">
        <w:rPr>
          <w:noProof/>
        </w:rPr>
        <w:t>1</w:t>
      </w:r>
      <w:r w:rsidR="00DB5D1D">
        <w:rPr>
          <w:noProof/>
        </w:rPr>
        <w:t>3</w:t>
      </w:r>
    </w:p>
    <w:p w14:paraId="76E66E4C" w14:textId="77777777" w:rsidR="009B0B40" w:rsidRDefault="00DD78C3" w:rsidP="0002562E">
      <w:pPr>
        <w:pStyle w:val="TDC1"/>
        <w:rPr>
          <w:rFonts w:ascii="Calibri" w:hAnsi="Calibri"/>
          <w:noProof/>
          <w:sz w:val="22"/>
          <w:szCs w:val="22"/>
          <w:lang w:val="es-ES"/>
        </w:rPr>
      </w:pPr>
      <w:hyperlink w:anchor="_Toc350855613" w:history="1">
        <w:r w:rsidR="009B0B40" w:rsidRPr="00B337E3">
          <w:rPr>
            <w:rStyle w:val="Hipervnculo"/>
            <w:noProof/>
          </w:rPr>
          <w:t>4. NORMAS DE REGISTRO Y VALORACIÓN</w:t>
        </w:r>
        <w:r w:rsidR="009B0B40">
          <w:rPr>
            <w:noProof/>
            <w:webHidden/>
          </w:rPr>
          <w:tab/>
        </w:r>
      </w:hyperlink>
      <w:r w:rsidR="008139A3">
        <w:rPr>
          <w:noProof/>
        </w:rPr>
        <w:t>1</w:t>
      </w:r>
      <w:r w:rsidR="008D374C">
        <w:rPr>
          <w:noProof/>
        </w:rPr>
        <w:t>3</w:t>
      </w:r>
    </w:p>
    <w:p w14:paraId="01225313" w14:textId="77777777" w:rsidR="009B0B40" w:rsidRDefault="00DD78C3" w:rsidP="0002562E">
      <w:pPr>
        <w:pStyle w:val="TDC1"/>
        <w:rPr>
          <w:rFonts w:ascii="Calibri" w:hAnsi="Calibri"/>
          <w:noProof/>
          <w:sz w:val="22"/>
          <w:szCs w:val="22"/>
          <w:lang w:val="es-ES"/>
        </w:rPr>
      </w:pPr>
      <w:hyperlink w:anchor="_Toc350855614" w:history="1">
        <w:r w:rsidR="009B0B40" w:rsidRPr="00B337E3">
          <w:rPr>
            <w:rStyle w:val="Hipervnculo"/>
            <w:noProof/>
          </w:rPr>
          <w:t>5. INMOVILIZADO MATERIAL</w:t>
        </w:r>
        <w:r w:rsidR="009B0B40">
          <w:rPr>
            <w:noProof/>
            <w:webHidden/>
          </w:rPr>
          <w:tab/>
        </w:r>
        <w:r w:rsidR="008139A3">
          <w:rPr>
            <w:noProof/>
            <w:webHidden/>
          </w:rPr>
          <w:t>2</w:t>
        </w:r>
      </w:hyperlink>
      <w:r w:rsidR="008D374C">
        <w:rPr>
          <w:noProof/>
        </w:rPr>
        <w:t>5</w:t>
      </w:r>
    </w:p>
    <w:p w14:paraId="1CD99DF3" w14:textId="77777777" w:rsidR="009B0B40" w:rsidRDefault="00DD78C3" w:rsidP="0002562E">
      <w:pPr>
        <w:pStyle w:val="TDC1"/>
        <w:rPr>
          <w:rFonts w:ascii="Calibri" w:hAnsi="Calibri"/>
          <w:noProof/>
          <w:sz w:val="22"/>
          <w:szCs w:val="22"/>
          <w:lang w:val="es-ES"/>
        </w:rPr>
      </w:pPr>
      <w:hyperlink w:anchor="_Toc350855615" w:history="1">
        <w:r w:rsidR="009B0B40" w:rsidRPr="00B337E3">
          <w:rPr>
            <w:rStyle w:val="Hipervnculo"/>
            <w:noProof/>
          </w:rPr>
          <w:t>6. INMOVILIZADO INTANGIBLE</w:t>
        </w:r>
        <w:r w:rsidR="009B0B40">
          <w:rPr>
            <w:noProof/>
            <w:webHidden/>
          </w:rPr>
          <w:tab/>
        </w:r>
        <w:r w:rsidR="008139A3">
          <w:rPr>
            <w:noProof/>
            <w:webHidden/>
          </w:rPr>
          <w:t>2</w:t>
        </w:r>
      </w:hyperlink>
      <w:r w:rsidR="008D374C">
        <w:rPr>
          <w:noProof/>
        </w:rPr>
        <w:t>6</w:t>
      </w:r>
    </w:p>
    <w:p w14:paraId="638D46E6" w14:textId="77777777" w:rsidR="009B0B40" w:rsidRDefault="00DD78C3" w:rsidP="0002562E">
      <w:pPr>
        <w:pStyle w:val="TDC1"/>
        <w:rPr>
          <w:rFonts w:ascii="Calibri" w:hAnsi="Calibri"/>
          <w:noProof/>
          <w:sz w:val="22"/>
          <w:szCs w:val="22"/>
          <w:lang w:val="es-ES"/>
        </w:rPr>
      </w:pPr>
      <w:hyperlink w:anchor="_Toc350855616" w:history="1">
        <w:r w:rsidR="009B0B40" w:rsidRPr="00B337E3">
          <w:rPr>
            <w:rStyle w:val="Hipervnculo"/>
            <w:noProof/>
          </w:rPr>
          <w:t>7. ARRENDAMIENTOS Y OTRAS OPERACIONES DE NATURALEZA SIMILAR</w:t>
        </w:r>
        <w:r w:rsidR="009B0B40">
          <w:rPr>
            <w:noProof/>
            <w:webHidden/>
          </w:rPr>
          <w:tab/>
        </w:r>
        <w:r w:rsidR="001D34F5">
          <w:rPr>
            <w:noProof/>
            <w:webHidden/>
          </w:rPr>
          <w:fldChar w:fldCharType="begin"/>
        </w:r>
        <w:r w:rsidR="009B0B40">
          <w:rPr>
            <w:noProof/>
            <w:webHidden/>
          </w:rPr>
          <w:instrText xml:space="preserve"> PAGEREF _Toc350855616 \h </w:instrText>
        </w:r>
        <w:r w:rsidR="001D34F5">
          <w:rPr>
            <w:noProof/>
            <w:webHidden/>
          </w:rPr>
        </w:r>
        <w:r w:rsidR="001D34F5">
          <w:rPr>
            <w:noProof/>
            <w:webHidden/>
          </w:rPr>
          <w:fldChar w:fldCharType="separate"/>
        </w:r>
        <w:r>
          <w:rPr>
            <w:noProof/>
            <w:webHidden/>
          </w:rPr>
          <w:t>26</w:t>
        </w:r>
        <w:r w:rsidR="001D34F5">
          <w:rPr>
            <w:noProof/>
            <w:webHidden/>
          </w:rPr>
          <w:fldChar w:fldCharType="end"/>
        </w:r>
      </w:hyperlink>
    </w:p>
    <w:p w14:paraId="3DE5BFCE" w14:textId="77777777" w:rsidR="009B0B40" w:rsidRDefault="00DD78C3" w:rsidP="0002562E">
      <w:pPr>
        <w:pStyle w:val="TDC1"/>
        <w:rPr>
          <w:rFonts w:ascii="Calibri" w:hAnsi="Calibri"/>
          <w:noProof/>
          <w:sz w:val="22"/>
          <w:szCs w:val="22"/>
          <w:lang w:val="es-ES"/>
        </w:rPr>
      </w:pPr>
      <w:hyperlink w:anchor="_Toc350855617" w:history="1">
        <w:r w:rsidR="009B0B40" w:rsidRPr="00B337E3">
          <w:rPr>
            <w:rStyle w:val="Hipervnculo"/>
            <w:noProof/>
          </w:rPr>
          <w:t>8. INVERSIONES EN EL PATRIMOMIO DE EMPRESAS DEL GRUPO</w:t>
        </w:r>
        <w:r w:rsidR="009B0B40">
          <w:rPr>
            <w:noProof/>
            <w:webHidden/>
          </w:rPr>
          <w:tab/>
        </w:r>
        <w:r w:rsidR="001D34F5">
          <w:rPr>
            <w:noProof/>
            <w:webHidden/>
          </w:rPr>
          <w:fldChar w:fldCharType="begin"/>
        </w:r>
        <w:r w:rsidR="009B0B40">
          <w:rPr>
            <w:noProof/>
            <w:webHidden/>
          </w:rPr>
          <w:instrText xml:space="preserve"> PAGEREF _Toc350855617 \h </w:instrText>
        </w:r>
        <w:r w:rsidR="001D34F5">
          <w:rPr>
            <w:noProof/>
            <w:webHidden/>
          </w:rPr>
        </w:r>
        <w:r w:rsidR="001D34F5">
          <w:rPr>
            <w:noProof/>
            <w:webHidden/>
          </w:rPr>
          <w:fldChar w:fldCharType="separate"/>
        </w:r>
        <w:r>
          <w:rPr>
            <w:noProof/>
            <w:webHidden/>
          </w:rPr>
          <w:t>27</w:t>
        </w:r>
        <w:r w:rsidR="001D34F5">
          <w:rPr>
            <w:noProof/>
            <w:webHidden/>
          </w:rPr>
          <w:fldChar w:fldCharType="end"/>
        </w:r>
      </w:hyperlink>
    </w:p>
    <w:p w14:paraId="31FC26B1" w14:textId="77777777" w:rsidR="009B0B40" w:rsidRDefault="00DD78C3" w:rsidP="0002562E">
      <w:pPr>
        <w:pStyle w:val="TDC1"/>
        <w:rPr>
          <w:rFonts w:ascii="Calibri" w:hAnsi="Calibri"/>
          <w:noProof/>
          <w:sz w:val="22"/>
          <w:szCs w:val="22"/>
          <w:lang w:val="es-ES"/>
        </w:rPr>
      </w:pPr>
      <w:hyperlink w:anchor="_Toc350855618" w:history="1">
        <w:r w:rsidR="009B0B40" w:rsidRPr="00B337E3">
          <w:rPr>
            <w:rStyle w:val="Hipervnculo"/>
            <w:noProof/>
          </w:rPr>
          <w:t>9. INSTRUMENTOS FINANCIEROS</w:t>
        </w:r>
        <w:r w:rsidR="009B0B40">
          <w:rPr>
            <w:noProof/>
            <w:webHidden/>
          </w:rPr>
          <w:tab/>
        </w:r>
        <w:r w:rsidR="001D34F5">
          <w:rPr>
            <w:noProof/>
            <w:webHidden/>
          </w:rPr>
          <w:fldChar w:fldCharType="begin"/>
        </w:r>
        <w:r w:rsidR="009B0B40">
          <w:rPr>
            <w:noProof/>
            <w:webHidden/>
          </w:rPr>
          <w:instrText xml:space="preserve"> PAGEREF _Toc350855618 \h </w:instrText>
        </w:r>
        <w:r w:rsidR="001D34F5">
          <w:rPr>
            <w:noProof/>
            <w:webHidden/>
          </w:rPr>
        </w:r>
        <w:r w:rsidR="001D34F5">
          <w:rPr>
            <w:noProof/>
            <w:webHidden/>
          </w:rPr>
          <w:fldChar w:fldCharType="separate"/>
        </w:r>
        <w:r>
          <w:rPr>
            <w:noProof/>
            <w:webHidden/>
          </w:rPr>
          <w:t>28</w:t>
        </w:r>
        <w:r w:rsidR="001D34F5">
          <w:rPr>
            <w:noProof/>
            <w:webHidden/>
          </w:rPr>
          <w:fldChar w:fldCharType="end"/>
        </w:r>
      </w:hyperlink>
    </w:p>
    <w:p w14:paraId="31651A83" w14:textId="77777777" w:rsidR="009B0B40" w:rsidRDefault="00DD78C3" w:rsidP="0002562E">
      <w:pPr>
        <w:pStyle w:val="TDC1"/>
        <w:rPr>
          <w:rFonts w:ascii="Calibri" w:hAnsi="Calibri"/>
          <w:noProof/>
          <w:sz w:val="22"/>
          <w:szCs w:val="22"/>
          <w:lang w:val="es-ES"/>
        </w:rPr>
      </w:pPr>
      <w:hyperlink w:anchor="_Toc350855619" w:history="1">
        <w:r w:rsidR="009B0B40" w:rsidRPr="00B337E3">
          <w:rPr>
            <w:rStyle w:val="Hipervnculo"/>
            <w:noProof/>
          </w:rPr>
          <w:t>10. FONDOS PROPIOS</w:t>
        </w:r>
        <w:r w:rsidR="009B0B40">
          <w:rPr>
            <w:noProof/>
            <w:webHidden/>
          </w:rPr>
          <w:tab/>
        </w:r>
        <w:r w:rsidR="001D34F5">
          <w:rPr>
            <w:noProof/>
            <w:webHidden/>
          </w:rPr>
          <w:fldChar w:fldCharType="begin"/>
        </w:r>
        <w:r w:rsidR="009B0B40">
          <w:rPr>
            <w:noProof/>
            <w:webHidden/>
          </w:rPr>
          <w:instrText xml:space="preserve"> PAGEREF _Toc350855619 \h </w:instrText>
        </w:r>
        <w:r w:rsidR="001D34F5">
          <w:rPr>
            <w:noProof/>
            <w:webHidden/>
          </w:rPr>
        </w:r>
        <w:r w:rsidR="001D34F5">
          <w:rPr>
            <w:noProof/>
            <w:webHidden/>
          </w:rPr>
          <w:fldChar w:fldCharType="separate"/>
        </w:r>
        <w:r>
          <w:rPr>
            <w:noProof/>
            <w:webHidden/>
          </w:rPr>
          <w:t>35</w:t>
        </w:r>
        <w:r w:rsidR="001D34F5">
          <w:rPr>
            <w:noProof/>
            <w:webHidden/>
          </w:rPr>
          <w:fldChar w:fldCharType="end"/>
        </w:r>
      </w:hyperlink>
    </w:p>
    <w:p w14:paraId="0EB6CEA3" w14:textId="77777777" w:rsidR="009B0B40" w:rsidRDefault="00DD78C3" w:rsidP="0002562E">
      <w:pPr>
        <w:pStyle w:val="TDC1"/>
        <w:rPr>
          <w:rFonts w:ascii="Calibri" w:hAnsi="Calibri"/>
          <w:noProof/>
          <w:sz w:val="22"/>
          <w:szCs w:val="22"/>
          <w:lang w:val="es-ES"/>
        </w:rPr>
      </w:pPr>
      <w:hyperlink w:anchor="_Toc350855620" w:history="1">
        <w:r w:rsidR="009B0B40" w:rsidRPr="00B337E3">
          <w:rPr>
            <w:rStyle w:val="Hipervnculo"/>
            <w:noProof/>
          </w:rPr>
          <w:t>11. AVALES</w:t>
        </w:r>
        <w:r w:rsidR="009B0B40">
          <w:rPr>
            <w:noProof/>
            <w:webHidden/>
          </w:rPr>
          <w:tab/>
        </w:r>
        <w:r w:rsidR="001D34F5">
          <w:rPr>
            <w:noProof/>
            <w:webHidden/>
          </w:rPr>
          <w:fldChar w:fldCharType="begin"/>
        </w:r>
        <w:r w:rsidR="009B0B40">
          <w:rPr>
            <w:noProof/>
            <w:webHidden/>
          </w:rPr>
          <w:instrText xml:space="preserve"> PAGEREF _Toc350855620 \h </w:instrText>
        </w:r>
        <w:r w:rsidR="001D34F5">
          <w:rPr>
            <w:noProof/>
            <w:webHidden/>
          </w:rPr>
        </w:r>
        <w:r w:rsidR="001D34F5">
          <w:rPr>
            <w:noProof/>
            <w:webHidden/>
          </w:rPr>
          <w:fldChar w:fldCharType="separate"/>
        </w:r>
        <w:r>
          <w:rPr>
            <w:noProof/>
            <w:webHidden/>
          </w:rPr>
          <w:t>36</w:t>
        </w:r>
        <w:r w:rsidR="001D34F5">
          <w:rPr>
            <w:noProof/>
            <w:webHidden/>
          </w:rPr>
          <w:fldChar w:fldCharType="end"/>
        </w:r>
      </w:hyperlink>
    </w:p>
    <w:p w14:paraId="1621FBCA" w14:textId="77777777" w:rsidR="009B0B40" w:rsidRDefault="00DD78C3" w:rsidP="0002562E">
      <w:pPr>
        <w:pStyle w:val="TDC1"/>
        <w:rPr>
          <w:rFonts w:ascii="Calibri" w:hAnsi="Calibri"/>
          <w:noProof/>
          <w:sz w:val="22"/>
          <w:szCs w:val="22"/>
          <w:lang w:val="es-ES"/>
        </w:rPr>
      </w:pPr>
      <w:hyperlink w:anchor="_Toc350855621" w:history="1">
        <w:r w:rsidR="009B0B40" w:rsidRPr="00B337E3">
          <w:rPr>
            <w:rStyle w:val="Hipervnculo"/>
            <w:noProof/>
          </w:rPr>
          <w:t>12. EXISTENCIAS</w:t>
        </w:r>
        <w:r w:rsidR="009B0B40">
          <w:rPr>
            <w:noProof/>
            <w:webHidden/>
          </w:rPr>
          <w:tab/>
        </w:r>
        <w:r w:rsidR="001D34F5">
          <w:rPr>
            <w:noProof/>
            <w:webHidden/>
          </w:rPr>
          <w:fldChar w:fldCharType="begin"/>
        </w:r>
        <w:r w:rsidR="009B0B40">
          <w:rPr>
            <w:noProof/>
            <w:webHidden/>
          </w:rPr>
          <w:instrText xml:space="preserve"> PAGEREF _Toc350855621 \h </w:instrText>
        </w:r>
        <w:r w:rsidR="001D34F5">
          <w:rPr>
            <w:noProof/>
            <w:webHidden/>
          </w:rPr>
        </w:r>
        <w:r w:rsidR="001D34F5">
          <w:rPr>
            <w:noProof/>
            <w:webHidden/>
          </w:rPr>
          <w:fldChar w:fldCharType="separate"/>
        </w:r>
        <w:r>
          <w:rPr>
            <w:noProof/>
            <w:webHidden/>
          </w:rPr>
          <w:t>38</w:t>
        </w:r>
        <w:r w:rsidR="001D34F5">
          <w:rPr>
            <w:noProof/>
            <w:webHidden/>
          </w:rPr>
          <w:fldChar w:fldCharType="end"/>
        </w:r>
      </w:hyperlink>
    </w:p>
    <w:p w14:paraId="30C52D2E" w14:textId="77777777" w:rsidR="009B0B40" w:rsidRDefault="00DD78C3" w:rsidP="0002562E">
      <w:pPr>
        <w:pStyle w:val="TDC1"/>
        <w:rPr>
          <w:rFonts w:ascii="Calibri" w:hAnsi="Calibri"/>
          <w:noProof/>
          <w:sz w:val="22"/>
          <w:szCs w:val="22"/>
          <w:lang w:val="es-ES"/>
        </w:rPr>
      </w:pPr>
      <w:hyperlink w:anchor="_Toc350855622" w:history="1">
        <w:r w:rsidR="009B0B40" w:rsidRPr="00B337E3">
          <w:rPr>
            <w:rStyle w:val="Hipervnculo"/>
            <w:noProof/>
          </w:rPr>
          <w:t>13. SITUACIÓN FISCAL</w:t>
        </w:r>
        <w:r w:rsidR="009B0B40">
          <w:rPr>
            <w:noProof/>
            <w:webHidden/>
          </w:rPr>
          <w:tab/>
        </w:r>
        <w:r w:rsidR="001D34F5">
          <w:rPr>
            <w:noProof/>
            <w:webHidden/>
          </w:rPr>
          <w:fldChar w:fldCharType="begin"/>
        </w:r>
        <w:r w:rsidR="009B0B40">
          <w:rPr>
            <w:noProof/>
            <w:webHidden/>
          </w:rPr>
          <w:instrText xml:space="preserve"> PAGEREF _Toc350855622 \h </w:instrText>
        </w:r>
        <w:r w:rsidR="001D34F5">
          <w:rPr>
            <w:noProof/>
            <w:webHidden/>
          </w:rPr>
        </w:r>
        <w:r w:rsidR="001D34F5">
          <w:rPr>
            <w:noProof/>
            <w:webHidden/>
          </w:rPr>
          <w:fldChar w:fldCharType="separate"/>
        </w:r>
        <w:r>
          <w:rPr>
            <w:noProof/>
            <w:webHidden/>
          </w:rPr>
          <w:t>38</w:t>
        </w:r>
        <w:r w:rsidR="001D34F5">
          <w:rPr>
            <w:noProof/>
            <w:webHidden/>
          </w:rPr>
          <w:fldChar w:fldCharType="end"/>
        </w:r>
      </w:hyperlink>
    </w:p>
    <w:p w14:paraId="17630B6A" w14:textId="77777777" w:rsidR="009B0B40" w:rsidRDefault="00DD78C3" w:rsidP="0002562E">
      <w:pPr>
        <w:pStyle w:val="TDC1"/>
        <w:rPr>
          <w:rFonts w:ascii="Calibri" w:hAnsi="Calibri"/>
          <w:noProof/>
          <w:sz w:val="22"/>
          <w:szCs w:val="22"/>
          <w:lang w:val="es-ES"/>
        </w:rPr>
      </w:pPr>
      <w:hyperlink w:anchor="_Toc350855623" w:history="1">
        <w:r w:rsidR="009B0B40" w:rsidRPr="00B337E3">
          <w:rPr>
            <w:rStyle w:val="Hipervnculo"/>
            <w:noProof/>
          </w:rPr>
          <w:t>14. PERIODIFICACIONES A CORTO Y LARGO PLAZO</w:t>
        </w:r>
        <w:r w:rsidR="009B0B40">
          <w:rPr>
            <w:noProof/>
            <w:webHidden/>
          </w:rPr>
          <w:tab/>
        </w:r>
        <w:r w:rsidR="001D34F5">
          <w:rPr>
            <w:noProof/>
            <w:webHidden/>
          </w:rPr>
          <w:fldChar w:fldCharType="begin"/>
        </w:r>
        <w:r w:rsidR="009B0B40">
          <w:rPr>
            <w:noProof/>
            <w:webHidden/>
          </w:rPr>
          <w:instrText xml:space="preserve"> PAGEREF _Toc350855623 \h </w:instrText>
        </w:r>
        <w:r w:rsidR="001D34F5">
          <w:rPr>
            <w:noProof/>
            <w:webHidden/>
          </w:rPr>
        </w:r>
        <w:r w:rsidR="001D34F5">
          <w:rPr>
            <w:noProof/>
            <w:webHidden/>
          </w:rPr>
          <w:fldChar w:fldCharType="separate"/>
        </w:r>
        <w:r>
          <w:rPr>
            <w:noProof/>
            <w:webHidden/>
          </w:rPr>
          <w:t>40</w:t>
        </w:r>
        <w:r w:rsidR="001D34F5">
          <w:rPr>
            <w:noProof/>
            <w:webHidden/>
          </w:rPr>
          <w:fldChar w:fldCharType="end"/>
        </w:r>
      </w:hyperlink>
    </w:p>
    <w:p w14:paraId="4DB9A2D8" w14:textId="77777777" w:rsidR="009B0B40" w:rsidRDefault="00DD78C3" w:rsidP="0002562E">
      <w:pPr>
        <w:pStyle w:val="TDC1"/>
      </w:pPr>
      <w:hyperlink w:anchor="_Toc350855624" w:history="1">
        <w:r w:rsidR="009B0B40" w:rsidRPr="00B337E3">
          <w:rPr>
            <w:rStyle w:val="Hipervnculo"/>
            <w:noProof/>
          </w:rPr>
          <w:t>15. INGRESOS Y GASTOS</w:t>
        </w:r>
        <w:r w:rsidR="009B0B40">
          <w:rPr>
            <w:noProof/>
            <w:webHidden/>
          </w:rPr>
          <w:tab/>
        </w:r>
        <w:r w:rsidR="001D34F5">
          <w:rPr>
            <w:noProof/>
            <w:webHidden/>
          </w:rPr>
          <w:fldChar w:fldCharType="begin"/>
        </w:r>
        <w:r w:rsidR="009B0B40">
          <w:rPr>
            <w:noProof/>
            <w:webHidden/>
          </w:rPr>
          <w:instrText xml:space="preserve"> PAGEREF _Toc350855624 \h </w:instrText>
        </w:r>
        <w:r w:rsidR="001D34F5">
          <w:rPr>
            <w:noProof/>
            <w:webHidden/>
          </w:rPr>
        </w:r>
        <w:r w:rsidR="001D34F5">
          <w:rPr>
            <w:noProof/>
            <w:webHidden/>
          </w:rPr>
          <w:fldChar w:fldCharType="separate"/>
        </w:r>
        <w:r>
          <w:rPr>
            <w:noProof/>
            <w:webHidden/>
          </w:rPr>
          <w:t>40</w:t>
        </w:r>
        <w:r w:rsidR="001D34F5">
          <w:rPr>
            <w:noProof/>
            <w:webHidden/>
          </w:rPr>
          <w:fldChar w:fldCharType="end"/>
        </w:r>
      </w:hyperlink>
    </w:p>
    <w:p w14:paraId="65A9214B" w14:textId="77777777" w:rsidR="00D04B37" w:rsidRDefault="00DD78C3" w:rsidP="0002562E">
      <w:pPr>
        <w:pStyle w:val="TDC1"/>
      </w:pPr>
      <w:hyperlink w:anchor="_Toc350855624" w:history="1">
        <w:r w:rsidR="00D04B37" w:rsidRPr="00B337E3">
          <w:rPr>
            <w:rStyle w:val="Hipervnculo"/>
            <w:noProof/>
          </w:rPr>
          <w:t>1</w:t>
        </w:r>
        <w:r w:rsidR="00D04B37">
          <w:rPr>
            <w:rStyle w:val="Hipervnculo"/>
            <w:noProof/>
          </w:rPr>
          <w:t>6</w:t>
        </w:r>
        <w:r w:rsidR="00D04B37" w:rsidRPr="00B337E3">
          <w:rPr>
            <w:rStyle w:val="Hipervnculo"/>
            <w:noProof/>
          </w:rPr>
          <w:t xml:space="preserve">. </w:t>
        </w:r>
        <w:r w:rsidR="00D04B37">
          <w:rPr>
            <w:rStyle w:val="Hipervnculo"/>
            <w:noProof/>
          </w:rPr>
          <w:t>PROVISIONES Y CONTINGENCIAS</w:t>
        </w:r>
        <w:r w:rsidR="00D04B37">
          <w:rPr>
            <w:noProof/>
            <w:webHidden/>
          </w:rPr>
          <w:tab/>
        </w:r>
        <w:r w:rsidR="001D34F5">
          <w:rPr>
            <w:noProof/>
            <w:webHidden/>
          </w:rPr>
          <w:fldChar w:fldCharType="begin"/>
        </w:r>
        <w:r w:rsidR="00D04B37">
          <w:rPr>
            <w:noProof/>
            <w:webHidden/>
          </w:rPr>
          <w:instrText xml:space="preserve"> PAGEREF _Toc350855624 \h </w:instrText>
        </w:r>
        <w:r w:rsidR="001D34F5">
          <w:rPr>
            <w:noProof/>
            <w:webHidden/>
          </w:rPr>
        </w:r>
        <w:r w:rsidR="001D34F5">
          <w:rPr>
            <w:noProof/>
            <w:webHidden/>
          </w:rPr>
          <w:fldChar w:fldCharType="separate"/>
        </w:r>
        <w:r>
          <w:rPr>
            <w:noProof/>
            <w:webHidden/>
          </w:rPr>
          <w:t>40</w:t>
        </w:r>
        <w:r w:rsidR="001D34F5">
          <w:rPr>
            <w:noProof/>
            <w:webHidden/>
          </w:rPr>
          <w:fldChar w:fldCharType="end"/>
        </w:r>
      </w:hyperlink>
    </w:p>
    <w:p w14:paraId="246F1882" w14:textId="77777777" w:rsidR="009B0B40" w:rsidRDefault="00DD78C3" w:rsidP="0002562E">
      <w:pPr>
        <w:pStyle w:val="TDC1"/>
        <w:rPr>
          <w:rFonts w:ascii="Calibri" w:hAnsi="Calibri"/>
          <w:noProof/>
          <w:sz w:val="22"/>
          <w:szCs w:val="22"/>
          <w:lang w:val="es-ES"/>
        </w:rPr>
      </w:pPr>
      <w:hyperlink w:anchor="_Toc350855626" w:history="1">
        <w:r w:rsidR="009B0B40" w:rsidRPr="00B337E3">
          <w:rPr>
            <w:rStyle w:val="Hipervnculo"/>
            <w:noProof/>
          </w:rPr>
          <w:t>17. INFORMACION SOBRE MEDIO AMBIENTE</w:t>
        </w:r>
        <w:r w:rsidR="009B0B40">
          <w:rPr>
            <w:noProof/>
            <w:webHidden/>
          </w:rPr>
          <w:tab/>
        </w:r>
        <w:r w:rsidR="001D34F5">
          <w:rPr>
            <w:noProof/>
            <w:webHidden/>
          </w:rPr>
          <w:fldChar w:fldCharType="begin"/>
        </w:r>
        <w:r w:rsidR="009B0B40">
          <w:rPr>
            <w:noProof/>
            <w:webHidden/>
          </w:rPr>
          <w:instrText xml:space="preserve"> PAGEREF _Toc350855626 \h </w:instrText>
        </w:r>
        <w:r w:rsidR="001D34F5">
          <w:rPr>
            <w:noProof/>
            <w:webHidden/>
          </w:rPr>
        </w:r>
        <w:r w:rsidR="001D34F5">
          <w:rPr>
            <w:noProof/>
            <w:webHidden/>
          </w:rPr>
          <w:fldChar w:fldCharType="separate"/>
        </w:r>
        <w:r>
          <w:rPr>
            <w:noProof/>
            <w:webHidden/>
          </w:rPr>
          <w:t>42</w:t>
        </w:r>
        <w:r w:rsidR="001D34F5">
          <w:rPr>
            <w:noProof/>
            <w:webHidden/>
          </w:rPr>
          <w:fldChar w:fldCharType="end"/>
        </w:r>
      </w:hyperlink>
    </w:p>
    <w:p w14:paraId="550BFA08" w14:textId="77777777" w:rsidR="009B0B40" w:rsidRDefault="00DD78C3" w:rsidP="0002562E">
      <w:pPr>
        <w:pStyle w:val="TDC1"/>
        <w:rPr>
          <w:rFonts w:ascii="Calibri" w:hAnsi="Calibri"/>
          <w:noProof/>
          <w:sz w:val="22"/>
          <w:szCs w:val="22"/>
          <w:lang w:val="es-ES"/>
        </w:rPr>
      </w:pPr>
      <w:hyperlink w:anchor="_Toc350855627" w:history="1">
        <w:r w:rsidR="009B0B40" w:rsidRPr="00B337E3">
          <w:rPr>
            <w:rStyle w:val="Hipervnculo"/>
            <w:noProof/>
          </w:rPr>
          <w:t>18. SUBVENCIONES, DONACIONES Y LEGADOS</w:t>
        </w:r>
        <w:r w:rsidR="009B0B40">
          <w:rPr>
            <w:noProof/>
            <w:webHidden/>
          </w:rPr>
          <w:tab/>
        </w:r>
        <w:r w:rsidR="001D34F5">
          <w:rPr>
            <w:noProof/>
            <w:webHidden/>
          </w:rPr>
          <w:fldChar w:fldCharType="begin"/>
        </w:r>
        <w:r w:rsidR="009B0B40">
          <w:rPr>
            <w:noProof/>
            <w:webHidden/>
          </w:rPr>
          <w:instrText xml:space="preserve"> PAGEREF _Toc350855627 \h </w:instrText>
        </w:r>
        <w:r w:rsidR="001D34F5">
          <w:rPr>
            <w:noProof/>
            <w:webHidden/>
          </w:rPr>
        </w:r>
        <w:r w:rsidR="001D34F5">
          <w:rPr>
            <w:noProof/>
            <w:webHidden/>
          </w:rPr>
          <w:fldChar w:fldCharType="separate"/>
        </w:r>
        <w:r>
          <w:rPr>
            <w:noProof/>
            <w:webHidden/>
          </w:rPr>
          <w:t>42</w:t>
        </w:r>
        <w:r w:rsidR="001D34F5">
          <w:rPr>
            <w:noProof/>
            <w:webHidden/>
          </w:rPr>
          <w:fldChar w:fldCharType="end"/>
        </w:r>
      </w:hyperlink>
    </w:p>
    <w:p w14:paraId="4783F7B2" w14:textId="77777777" w:rsidR="009B0B40" w:rsidRDefault="00DD78C3" w:rsidP="0002562E">
      <w:pPr>
        <w:pStyle w:val="TDC1"/>
        <w:rPr>
          <w:rFonts w:ascii="Calibri" w:hAnsi="Calibri"/>
          <w:noProof/>
          <w:sz w:val="22"/>
          <w:szCs w:val="22"/>
          <w:lang w:val="es-ES"/>
        </w:rPr>
      </w:pPr>
      <w:hyperlink w:anchor="_Toc350855628" w:history="1">
        <w:r w:rsidR="009B0B40" w:rsidRPr="00B337E3">
          <w:rPr>
            <w:rStyle w:val="Hipervnculo"/>
            <w:noProof/>
          </w:rPr>
          <w:t>19. OPERACIONES CON PARTES VINCULADAS</w:t>
        </w:r>
        <w:r w:rsidR="009B0B40">
          <w:rPr>
            <w:noProof/>
            <w:webHidden/>
          </w:rPr>
          <w:tab/>
        </w:r>
        <w:r w:rsidR="001D34F5">
          <w:rPr>
            <w:noProof/>
            <w:webHidden/>
          </w:rPr>
          <w:fldChar w:fldCharType="begin"/>
        </w:r>
        <w:r w:rsidR="009B0B40">
          <w:rPr>
            <w:noProof/>
            <w:webHidden/>
          </w:rPr>
          <w:instrText xml:space="preserve"> PAGEREF _Toc350855628 \h </w:instrText>
        </w:r>
        <w:r w:rsidR="001D34F5">
          <w:rPr>
            <w:noProof/>
            <w:webHidden/>
          </w:rPr>
        </w:r>
        <w:r w:rsidR="001D34F5">
          <w:rPr>
            <w:noProof/>
            <w:webHidden/>
          </w:rPr>
          <w:fldChar w:fldCharType="separate"/>
        </w:r>
        <w:r>
          <w:rPr>
            <w:noProof/>
            <w:webHidden/>
          </w:rPr>
          <w:t>43</w:t>
        </w:r>
        <w:r w:rsidR="001D34F5">
          <w:rPr>
            <w:noProof/>
            <w:webHidden/>
          </w:rPr>
          <w:fldChar w:fldCharType="end"/>
        </w:r>
      </w:hyperlink>
    </w:p>
    <w:p w14:paraId="2CC24BFF" w14:textId="77777777" w:rsidR="009B0B40" w:rsidRDefault="00DD78C3" w:rsidP="0002562E">
      <w:pPr>
        <w:pStyle w:val="TDC1"/>
      </w:pPr>
      <w:hyperlink w:anchor="_Toc350855629" w:history="1">
        <w:r w:rsidR="009B0B40" w:rsidRPr="00B337E3">
          <w:rPr>
            <w:rStyle w:val="Hipervnculo"/>
            <w:noProof/>
          </w:rPr>
          <w:t>20. OTRA INFORMACION</w:t>
        </w:r>
        <w:r w:rsidR="009B0B40">
          <w:rPr>
            <w:noProof/>
            <w:webHidden/>
          </w:rPr>
          <w:tab/>
        </w:r>
      </w:hyperlink>
      <w:r w:rsidR="008D374C">
        <w:t>4</w:t>
      </w:r>
      <w:r w:rsidR="004F1DA1">
        <w:t>7</w:t>
      </w:r>
    </w:p>
    <w:p w14:paraId="34EA316E" w14:textId="77777777" w:rsidR="0002562E" w:rsidRDefault="00DD78C3" w:rsidP="0002562E">
      <w:pPr>
        <w:pStyle w:val="TDC1"/>
        <w:rPr>
          <w:noProof/>
        </w:rPr>
      </w:pPr>
      <w:hyperlink w:anchor="_Toc350855629" w:history="1">
        <w:r w:rsidR="0002562E" w:rsidRPr="00B337E3">
          <w:rPr>
            <w:rStyle w:val="Hipervnculo"/>
            <w:noProof/>
          </w:rPr>
          <w:t>2</w:t>
        </w:r>
        <w:r w:rsidR="0002562E">
          <w:rPr>
            <w:rStyle w:val="Hipervnculo"/>
            <w:noProof/>
          </w:rPr>
          <w:t>1</w:t>
        </w:r>
        <w:r w:rsidR="0002562E" w:rsidRPr="00B337E3">
          <w:rPr>
            <w:rStyle w:val="Hipervnculo"/>
            <w:noProof/>
          </w:rPr>
          <w:t>. OTRA INFORMACION</w:t>
        </w:r>
      </w:hyperlink>
      <w:r w:rsidR="0002562E">
        <w:rPr>
          <w:noProof/>
        </w:rPr>
        <w:t xml:space="preserve"> SOBRE LA NATURALEZA Y EL NIVEL DE RIESGO PROCEDENTE DE </w:t>
      </w:r>
    </w:p>
    <w:p w14:paraId="177720DB" w14:textId="77777777" w:rsidR="0002562E" w:rsidRPr="0002562E" w:rsidRDefault="0002562E" w:rsidP="0002562E">
      <w:pPr>
        <w:pStyle w:val="TDC1"/>
      </w:pPr>
      <w:r>
        <w:rPr>
          <w:noProof/>
        </w:rPr>
        <w:t>INSTRUMENTOS FINANCIEROS………………………………………………………………………</w:t>
      </w:r>
      <w:r>
        <w:rPr>
          <w:noProof/>
        </w:rPr>
        <w:tab/>
      </w:r>
      <w:r>
        <w:t>4</w:t>
      </w:r>
      <w:r w:rsidR="00086FED">
        <w:t>7</w:t>
      </w:r>
    </w:p>
    <w:p w14:paraId="50342782" w14:textId="77777777" w:rsidR="009B0B40" w:rsidRDefault="00DD78C3" w:rsidP="0002562E">
      <w:pPr>
        <w:pStyle w:val="TDC1"/>
        <w:rPr>
          <w:rFonts w:ascii="Calibri" w:hAnsi="Calibri"/>
          <w:noProof/>
          <w:sz w:val="22"/>
          <w:szCs w:val="22"/>
          <w:lang w:val="es-ES"/>
        </w:rPr>
      </w:pPr>
      <w:hyperlink w:anchor="_Toc350855630" w:history="1">
        <w:r w:rsidR="009B0B40" w:rsidRPr="00B337E3">
          <w:rPr>
            <w:rStyle w:val="Hipervnculo"/>
            <w:noProof/>
          </w:rPr>
          <w:t>2</w:t>
        </w:r>
        <w:r w:rsidR="0002562E">
          <w:rPr>
            <w:rStyle w:val="Hipervnculo"/>
            <w:noProof/>
          </w:rPr>
          <w:t>2</w:t>
        </w:r>
        <w:r w:rsidR="009B0B40" w:rsidRPr="00B337E3">
          <w:rPr>
            <w:rStyle w:val="Hipervnculo"/>
            <w:noProof/>
          </w:rPr>
          <w:t>. INFORMACION SOBRE LOS APLAZAMIENTOS DE PAGO EFECTUADOS A PROVEEDORES</w:t>
        </w:r>
        <w:r w:rsidR="009B0B40">
          <w:rPr>
            <w:noProof/>
            <w:webHidden/>
          </w:rPr>
          <w:tab/>
        </w:r>
        <w:r w:rsidR="004F1DA1">
          <w:rPr>
            <w:noProof/>
            <w:webHidden/>
          </w:rPr>
          <w:t>4</w:t>
        </w:r>
      </w:hyperlink>
      <w:r w:rsidR="004F1DA1">
        <w:rPr>
          <w:noProof/>
        </w:rPr>
        <w:t>9</w:t>
      </w:r>
    </w:p>
    <w:p w14:paraId="7BDC77AC" w14:textId="77777777" w:rsidR="009B0B40" w:rsidRDefault="00DD78C3" w:rsidP="0002562E">
      <w:pPr>
        <w:pStyle w:val="TDC1"/>
        <w:rPr>
          <w:rFonts w:ascii="Calibri" w:hAnsi="Calibri"/>
          <w:noProof/>
          <w:sz w:val="22"/>
          <w:szCs w:val="22"/>
          <w:lang w:val="es-ES"/>
        </w:rPr>
      </w:pPr>
      <w:hyperlink w:anchor="_Toc350855631" w:history="1">
        <w:r w:rsidR="009B0B40" w:rsidRPr="00B337E3">
          <w:rPr>
            <w:rStyle w:val="Hipervnculo"/>
            <w:noProof/>
          </w:rPr>
          <w:t>2</w:t>
        </w:r>
        <w:r w:rsidR="0002562E">
          <w:rPr>
            <w:rStyle w:val="Hipervnculo"/>
            <w:noProof/>
          </w:rPr>
          <w:t>3</w:t>
        </w:r>
        <w:r w:rsidR="009B0B40" w:rsidRPr="00B337E3">
          <w:rPr>
            <w:rStyle w:val="Hipervnculo"/>
            <w:noProof/>
          </w:rPr>
          <w:t>. ACONTECIMIENTOS POSTERIORES AL CIERRE</w:t>
        </w:r>
        <w:r w:rsidR="009B0B40">
          <w:rPr>
            <w:noProof/>
            <w:webHidden/>
          </w:rPr>
          <w:tab/>
        </w:r>
        <w:r w:rsidR="00086FED">
          <w:rPr>
            <w:noProof/>
            <w:webHidden/>
          </w:rPr>
          <w:t>49</w:t>
        </w:r>
      </w:hyperlink>
    </w:p>
    <w:p w14:paraId="53E7EC55" w14:textId="77777777" w:rsidR="009B0B40" w:rsidRPr="00D82D74" w:rsidRDefault="00750EC9" w:rsidP="0002562E">
      <w:pPr>
        <w:pStyle w:val="TDC1"/>
        <w:rPr>
          <w:rStyle w:val="Hipervnculo"/>
          <w:noProof/>
          <w:color w:val="auto"/>
          <w:u w:val="none"/>
        </w:rPr>
      </w:pPr>
      <w:r>
        <w:rPr>
          <w:rStyle w:val="Hipervnculo"/>
          <w:noProof/>
          <w:color w:val="auto"/>
          <w:u w:val="none"/>
        </w:rPr>
        <w:t>INFORME DE GESTIÓN</w:t>
      </w:r>
      <w:r>
        <w:rPr>
          <w:rStyle w:val="Hipervnculo"/>
          <w:noProof/>
          <w:color w:val="auto"/>
          <w:u w:val="none"/>
        </w:rPr>
        <w:tab/>
      </w:r>
      <w:r w:rsidR="0002562E">
        <w:rPr>
          <w:rStyle w:val="Hipervnculo"/>
          <w:noProof/>
          <w:color w:val="auto"/>
          <w:u w:val="none"/>
        </w:rPr>
        <w:t>5</w:t>
      </w:r>
      <w:r w:rsidR="004F1DA1">
        <w:rPr>
          <w:rStyle w:val="Hipervnculo"/>
          <w:noProof/>
          <w:color w:val="auto"/>
          <w:u w:val="none"/>
        </w:rPr>
        <w:t>1</w:t>
      </w:r>
    </w:p>
    <w:p w14:paraId="0362539F" w14:textId="77777777" w:rsidR="009B0B40" w:rsidRDefault="001D34F5" w:rsidP="004429D1">
      <w:pPr>
        <w:tabs>
          <w:tab w:val="left" w:pos="567"/>
          <w:tab w:val="right" w:pos="7230"/>
          <w:tab w:val="right" w:pos="9214"/>
        </w:tabs>
        <w:jc w:val="both"/>
        <w:rPr>
          <w:b/>
        </w:rPr>
      </w:pPr>
      <w:r>
        <w:rPr>
          <w:b/>
        </w:rPr>
        <w:fldChar w:fldCharType="end"/>
      </w:r>
    </w:p>
    <w:p w14:paraId="6E2EACF6" w14:textId="77777777" w:rsidR="000F77D4" w:rsidRDefault="000F77D4" w:rsidP="004429D1">
      <w:pPr>
        <w:tabs>
          <w:tab w:val="left" w:pos="567"/>
          <w:tab w:val="right" w:pos="7230"/>
          <w:tab w:val="right" w:pos="9214"/>
        </w:tabs>
        <w:jc w:val="both"/>
        <w:rPr>
          <w:b/>
        </w:rPr>
      </w:pPr>
    </w:p>
    <w:p w14:paraId="0FAE4E09" w14:textId="77777777" w:rsidR="000F77D4" w:rsidRDefault="000F77D4" w:rsidP="004429D1">
      <w:pPr>
        <w:tabs>
          <w:tab w:val="left" w:pos="567"/>
          <w:tab w:val="right" w:pos="7230"/>
          <w:tab w:val="right" w:pos="9214"/>
        </w:tabs>
        <w:jc w:val="both"/>
        <w:rPr>
          <w:b/>
        </w:rPr>
      </w:pPr>
    </w:p>
    <w:p w14:paraId="2CF45BB4" w14:textId="77777777" w:rsidR="000F77D4" w:rsidRDefault="000F77D4" w:rsidP="004429D1">
      <w:pPr>
        <w:tabs>
          <w:tab w:val="left" w:pos="567"/>
          <w:tab w:val="right" w:pos="7230"/>
          <w:tab w:val="right" w:pos="9214"/>
        </w:tabs>
        <w:jc w:val="both"/>
        <w:rPr>
          <w:b/>
        </w:rPr>
      </w:pPr>
    </w:p>
    <w:p w14:paraId="356ED737" w14:textId="77777777" w:rsidR="000F77D4" w:rsidRPr="00A95BF6" w:rsidRDefault="000F77D4" w:rsidP="004429D1">
      <w:pPr>
        <w:tabs>
          <w:tab w:val="left" w:pos="567"/>
          <w:tab w:val="right" w:pos="7230"/>
          <w:tab w:val="right" w:pos="9214"/>
        </w:tabs>
        <w:jc w:val="both"/>
        <w:rPr>
          <w:rFonts w:ascii="Arial" w:hAnsi="Arial"/>
          <w:b/>
        </w:rPr>
      </w:pPr>
    </w:p>
    <w:p w14:paraId="7843361D" w14:textId="77777777" w:rsidR="009B0B40" w:rsidRPr="00B571F7" w:rsidRDefault="009B0B40" w:rsidP="001E1C0D">
      <w:pPr>
        <w:tabs>
          <w:tab w:val="left" w:pos="720"/>
          <w:tab w:val="center" w:pos="4320"/>
        </w:tabs>
        <w:spacing w:before="200" w:line="276" w:lineRule="auto"/>
        <w:jc w:val="center"/>
        <w:rPr>
          <w:rFonts w:ascii="EurostileTMed" w:hAnsi="EurostileTMed"/>
          <w:b/>
          <w:color w:val="005BA6"/>
          <w:sz w:val="40"/>
          <w:szCs w:val="40"/>
        </w:rPr>
      </w:pPr>
      <w:r w:rsidRPr="00B571F7">
        <w:rPr>
          <w:rFonts w:ascii="EurostileTMed" w:hAnsi="EurostileTMed"/>
          <w:b/>
          <w:color w:val="005BA6"/>
          <w:sz w:val="40"/>
          <w:szCs w:val="40"/>
        </w:rPr>
        <w:t>MEMORIA</w:t>
      </w:r>
    </w:p>
    <w:p w14:paraId="457FEE45" w14:textId="77777777" w:rsidR="009B0B40" w:rsidRPr="0013770B" w:rsidRDefault="009B0B40" w:rsidP="001E1C0D">
      <w:pPr>
        <w:pStyle w:val="Ttulo1"/>
        <w:spacing w:before="200" w:line="276" w:lineRule="auto"/>
        <w:rPr>
          <w:rFonts w:ascii="EurostileT" w:hAnsi="EurostileT"/>
          <w:color w:val="005BA6"/>
          <w:sz w:val="28"/>
          <w:szCs w:val="28"/>
        </w:rPr>
      </w:pPr>
      <w:bookmarkStart w:id="1" w:name="_Toc130191096"/>
      <w:bookmarkStart w:id="2" w:name="_Toc350855610"/>
      <w:r w:rsidRPr="0013770B">
        <w:rPr>
          <w:rFonts w:ascii="EurostileT" w:hAnsi="EurostileT"/>
          <w:color w:val="005BA6"/>
          <w:sz w:val="28"/>
          <w:szCs w:val="28"/>
        </w:rPr>
        <w:t>1. ACTIVIDAD DE LA EMPRESA</w:t>
      </w:r>
      <w:bookmarkEnd w:id="1"/>
      <w:bookmarkEnd w:id="2"/>
    </w:p>
    <w:p w14:paraId="57E4B118" w14:textId="77777777" w:rsidR="009B0B40" w:rsidRDefault="00534369" w:rsidP="001E1C0D">
      <w:pPr>
        <w:tabs>
          <w:tab w:val="center" w:pos="4320"/>
        </w:tabs>
        <w:spacing w:before="200" w:line="276" w:lineRule="auto"/>
        <w:jc w:val="both"/>
        <w:rPr>
          <w:rFonts w:ascii="Arial" w:hAnsi="Arial" w:cs="Arial"/>
        </w:rPr>
      </w:pPr>
      <w:r>
        <w:rPr>
          <w:rFonts w:ascii="Arial" w:hAnsi="Arial" w:cs="Arial"/>
        </w:rPr>
        <w:t xml:space="preserve">El Instituto Navarro de Tecnologías e Infraestructuras Agroalimentarias, S.A. </w:t>
      </w:r>
      <w:r w:rsidR="009B0B40">
        <w:rPr>
          <w:rFonts w:ascii="Arial" w:hAnsi="Arial" w:cs="Arial"/>
        </w:rPr>
        <w:t>(en adelante</w:t>
      </w:r>
      <w:r>
        <w:rPr>
          <w:rFonts w:ascii="Arial" w:hAnsi="Arial" w:cs="Arial"/>
        </w:rPr>
        <w:t xml:space="preserve"> INTIA, S.A. o</w:t>
      </w:r>
      <w:r w:rsidR="009B0B40">
        <w:rPr>
          <w:rFonts w:ascii="Arial" w:hAnsi="Arial" w:cs="Arial"/>
        </w:rPr>
        <w:t xml:space="preserve"> la Sociedad), se constituyó el</w:t>
      </w:r>
      <w:r w:rsidR="009B0B40" w:rsidRPr="005E3F0B">
        <w:rPr>
          <w:rFonts w:ascii="Arial" w:hAnsi="Arial" w:cs="Arial"/>
        </w:rPr>
        <w:t xml:space="preserve"> 4 de mayo</w:t>
      </w:r>
      <w:r w:rsidR="009B0B40">
        <w:rPr>
          <w:rFonts w:ascii="Arial" w:hAnsi="Arial" w:cs="Arial"/>
        </w:rPr>
        <w:t xml:space="preserve"> de 2011 con la denominación de “</w:t>
      </w:r>
      <w:r w:rsidR="009B0B40" w:rsidRPr="005E3F0B">
        <w:rPr>
          <w:rFonts w:ascii="Arial" w:hAnsi="Arial" w:cs="Arial"/>
        </w:rPr>
        <w:t>Instituto Navarro de Tecnologías e Infraestructuras Agroalimentarias</w:t>
      </w:r>
      <w:r w:rsidR="009B0B40">
        <w:rPr>
          <w:rFonts w:ascii="Arial" w:hAnsi="Arial" w:cs="Arial"/>
        </w:rPr>
        <w:t>,</w:t>
      </w:r>
      <w:r w:rsidR="009B0B40" w:rsidRPr="005E3F0B">
        <w:rPr>
          <w:rFonts w:ascii="Arial" w:hAnsi="Arial" w:cs="Arial"/>
        </w:rPr>
        <w:t xml:space="preserve"> S.A.” </w:t>
      </w:r>
      <w:r w:rsidR="009B0B40">
        <w:rPr>
          <w:rFonts w:ascii="Arial" w:hAnsi="Arial" w:cs="Arial"/>
        </w:rPr>
        <w:t xml:space="preserve">tal y como se desprende de la escritura pública otorgada por el Notario del Ilustre Colegio de Pamplona, D. Rafael </w:t>
      </w:r>
      <w:proofErr w:type="spellStart"/>
      <w:r w:rsidR="009B0B40">
        <w:rPr>
          <w:rFonts w:ascii="Arial" w:hAnsi="Arial" w:cs="Arial"/>
        </w:rPr>
        <w:t>Unceta</w:t>
      </w:r>
      <w:proofErr w:type="spellEnd"/>
      <w:r w:rsidR="009B0B40">
        <w:rPr>
          <w:rFonts w:ascii="Arial" w:hAnsi="Arial" w:cs="Arial"/>
        </w:rPr>
        <w:t xml:space="preserve"> Morales, tras un proceso de</w:t>
      </w:r>
      <w:r w:rsidR="009B0B40" w:rsidRPr="005E3F0B">
        <w:rPr>
          <w:rFonts w:ascii="Arial" w:hAnsi="Arial" w:cs="Arial"/>
        </w:rPr>
        <w:t xml:space="preserve"> fusión de la Sociedad anteriormente denominada “Riegos del Canal de Navarra, S.A.U.” (Sociedad Absorbente) con las compañías mercantiles “Instituto de Calidad Agroalimentaria de Navarra, S.A.U.”, “Instituto Técnico y de Gestión Ganadero, S.A.U.”, “Instituto Técnico y de Gestión Agrícola, S.A.U.” y “Riegos de Navarra, S.A.U.” (Sociedades Absorbidas), mediante la absorción d</w:t>
      </w:r>
      <w:r w:rsidR="009B0B40">
        <w:rPr>
          <w:rFonts w:ascii="Arial" w:hAnsi="Arial" w:cs="Arial"/>
        </w:rPr>
        <w:t>e éstas últimas por la primera.</w:t>
      </w:r>
    </w:p>
    <w:p w14:paraId="7B6AD25D" w14:textId="77777777" w:rsidR="00536361" w:rsidRDefault="00536361" w:rsidP="00536361">
      <w:pPr>
        <w:tabs>
          <w:tab w:val="right" w:pos="7230"/>
          <w:tab w:val="right" w:pos="9214"/>
        </w:tabs>
        <w:spacing w:before="240" w:line="276" w:lineRule="auto"/>
        <w:jc w:val="both"/>
        <w:rPr>
          <w:rFonts w:ascii="Arial" w:hAnsi="Arial" w:cs="Arial"/>
        </w:rPr>
      </w:pPr>
      <w:r>
        <w:rPr>
          <w:rFonts w:ascii="Arial" w:hAnsi="Arial" w:cs="Arial"/>
        </w:rPr>
        <w:t>La presente operación de fusión quedó sujeta a la aplicación del régimen especial de las fusiones, escisiones, aportaciones de activos y canje de valores regulado en el artículo 133.1 del capítulo IX del título X de la Ley Foral de Navarra 24/1996, de 30 de diciembre, considerando que se ajustaba a la definición de fusión contenida en la citada norma.</w:t>
      </w:r>
    </w:p>
    <w:p w14:paraId="4C152229" w14:textId="77777777" w:rsidR="00536361" w:rsidRDefault="00536361" w:rsidP="00536361">
      <w:pPr>
        <w:tabs>
          <w:tab w:val="right" w:pos="7230"/>
          <w:tab w:val="right" w:pos="9214"/>
        </w:tabs>
        <w:spacing w:before="240" w:line="276" w:lineRule="auto"/>
        <w:jc w:val="both"/>
        <w:rPr>
          <w:rFonts w:ascii="Arial" w:hAnsi="Arial" w:cs="Arial"/>
        </w:rPr>
      </w:pPr>
      <w:r>
        <w:rPr>
          <w:rFonts w:ascii="Arial" w:hAnsi="Arial" w:cs="Arial"/>
        </w:rPr>
        <w:t>La fusión se ejecutó conforme a los términos incluidos en el planteamiento legal de ejecución del Plan de Ordenación y Reestructuración del Sector Público Empresarial de Navarra y, por consiguiente, supuso una operación de reestructuración del Patrimonio Empresarial Público de las reguladas en el artículo 104 de la Ley Foral 14/2007, de 4 de abril, de Patrimonio de Navarra.</w:t>
      </w:r>
    </w:p>
    <w:p w14:paraId="61CC59C8" w14:textId="77777777" w:rsidR="00536361" w:rsidRDefault="009B0B40" w:rsidP="001E1C0D">
      <w:pPr>
        <w:tabs>
          <w:tab w:val="center" w:pos="4320"/>
        </w:tabs>
        <w:spacing w:before="200" w:line="276" w:lineRule="auto"/>
        <w:jc w:val="both"/>
        <w:rPr>
          <w:rFonts w:ascii="Arial" w:hAnsi="Arial" w:cs="Arial"/>
        </w:rPr>
      </w:pPr>
      <w:r>
        <w:rPr>
          <w:rFonts w:ascii="Arial" w:hAnsi="Arial" w:cs="Arial"/>
        </w:rPr>
        <w:t>En cumplimiento de lo dispuesto en la Ley Foral 24/1996, de 30 de diciembre y en la Ley 43/1995, de 27 de diciembre, en las que se regula el régimen especial de fusiones, escisiones, aportaciones de activos y canjes de valores, se relacionó en las cuentas anuales de 2011, la información requerida sobre la operación de fusión mencionada anteriormente</w:t>
      </w:r>
      <w:r w:rsidR="00536361">
        <w:rPr>
          <w:rFonts w:ascii="Arial" w:hAnsi="Arial" w:cs="Arial"/>
        </w:rPr>
        <w:t>.</w:t>
      </w:r>
      <w:r>
        <w:rPr>
          <w:rFonts w:ascii="Arial" w:hAnsi="Arial" w:cs="Arial"/>
        </w:rPr>
        <w:t xml:space="preserve"> </w:t>
      </w:r>
    </w:p>
    <w:p w14:paraId="779D3428" w14:textId="77777777" w:rsidR="009B0B40" w:rsidRPr="005E3F0B" w:rsidRDefault="009B0B40" w:rsidP="001E1C0D">
      <w:pPr>
        <w:tabs>
          <w:tab w:val="center" w:pos="4320"/>
        </w:tabs>
        <w:spacing w:before="200" w:line="276" w:lineRule="auto"/>
        <w:jc w:val="both"/>
        <w:rPr>
          <w:rFonts w:ascii="Arial" w:hAnsi="Arial" w:cs="Arial"/>
        </w:rPr>
      </w:pPr>
      <w:r w:rsidRPr="005E3F0B">
        <w:rPr>
          <w:rFonts w:ascii="Arial" w:hAnsi="Arial" w:cs="Arial"/>
        </w:rPr>
        <w:t>La Sociedad tiene como objeto social:</w:t>
      </w:r>
    </w:p>
    <w:p w14:paraId="64E6CEF3" w14:textId="77777777" w:rsidR="009B0B40"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divulgación de las técnicas y sistemas de producción agrícola, ganadera, agroalimentaria y de la tecnología asociada a la construcción de regadíos y a los sistemas de riego y a todo tipo de infraestructuras agrarias.</w:t>
      </w:r>
    </w:p>
    <w:p w14:paraId="059E3A31"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promoción de los sectores agrícola, pecuario y de la industria agroalimentaria y de sus producciones.</w:t>
      </w:r>
    </w:p>
    <w:p w14:paraId="222B0B39"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prestación de toda clase de actividades y servicios que mejoren el conocimiento y contribuyan al mantenimiento y desarrollo del sector agrario, pecuario, de la actividad agroindustrial y de las infraestructuras agrarias.</w:t>
      </w:r>
    </w:p>
    <w:p w14:paraId="685A3DA1"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El fomento, implantación, construcción, explotación y mejora de explotaciones agrarias, granjas y centros de experimentación y de producción de animales selectos mediante la elaboración de estudios, asesoramiento y ejecución de sus ámbitos técnicos, financieros y de gestión.</w:t>
      </w:r>
    </w:p>
    <w:p w14:paraId="68FB44F8"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ejecución de proyectos y obras de transformación en regadío o modernización de regadíos tradicionales mediante el desarrollo y aplicación de sistemas de financiación pública, privada o mixta.</w:t>
      </w:r>
    </w:p>
    <w:p w14:paraId="0A91C520"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ejecución de proyectos y obras de todo tipo de estructuras agrarias.</w:t>
      </w:r>
    </w:p>
    <w:p w14:paraId="154406BD"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construcción y, en su caso, explotación de las infraestructuras de interés general de la zona regable del Canal de Navarra o de otras áreas regables o infraestructuras de interés general que podrán llevarse a cabo bien de forma directa o por encargo a terceros, bien mediante contratos de concesión de obras públicas  que abarquen total o parcialmente la zona regable.</w:t>
      </w:r>
    </w:p>
    <w:p w14:paraId="6DC33748" w14:textId="77777777" w:rsidR="009B0B40"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investigación y experimentación en las áreas agropecuarias, agroindustrial, de calidad agroalimentaria y de infraestructuras agrarias, así como la construcción, implantación y gestión de fincas, experimentales y campos de ensayo, para generar conocimientos en el ámbito de la producción agropecuaria o agroindustrial, las estructuras agrarias o el medio ambiente.</w:t>
      </w:r>
    </w:p>
    <w:p w14:paraId="752CAEF4"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organización, promoción, participación en ferias, exposiciones, jornadas y demás actos relacionados con la agricultura, la ganadería, las infraestructuras agrarias y la promoción de productos agroalimentarios.</w:t>
      </w:r>
    </w:p>
    <w:p w14:paraId="4E40B2C3" w14:textId="77777777" w:rsidR="009B0B40"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El asesoramiento y la formación permanente de los agricultores, ganaderos, regantes y agroindustriales y de todo tipo de operadores que intervienen en el sector agroalimentario.</w:t>
      </w:r>
    </w:p>
    <w:p w14:paraId="2316C0E0"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Control y certificación de productos agroalimentarios, procesos e instalaciones, según los estándares de calidad agroalimentaria vigentes, en particular a los referidos a marcas públicas de calidad diferenciada como Denominaciones de Origen, Indicaciones Geográficas, Producción integrada, Producción ecológica, Artesanía Agroalimentaria y Reyno Gourmet.</w:t>
      </w:r>
    </w:p>
    <w:p w14:paraId="3AF229A4"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colaboración con entidades públicas y privadas y organismos de la Administración en el campo de la actividad agropecuaria, agroindustrial, de la calidad agroalimentaria, y en materia de regadíos, así como en actividades de investigación, desarrollo e innovación.</w:t>
      </w:r>
    </w:p>
    <w:p w14:paraId="7734515D"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La colaboración con todo tipo de instituciones nacionales y extranjeras que se dediquen a la experimentación, investigación o desarrollo en el ámbito de la producción agropecuaria o agroindustrial, las estructuras agrarias o el medio ambiente.</w:t>
      </w:r>
    </w:p>
    <w:p w14:paraId="2D22665B" w14:textId="77777777" w:rsidR="009B0B40" w:rsidRPr="005E3F0B" w:rsidRDefault="009B0B40" w:rsidP="00BE6AC4">
      <w:pPr>
        <w:numPr>
          <w:ilvl w:val="0"/>
          <w:numId w:val="28"/>
        </w:numPr>
        <w:spacing w:before="200" w:line="276" w:lineRule="auto"/>
        <w:ind w:left="567" w:hanging="567"/>
        <w:jc w:val="both"/>
        <w:rPr>
          <w:rFonts w:ascii="Arial" w:hAnsi="Arial" w:cs="Arial"/>
        </w:rPr>
      </w:pPr>
      <w:r w:rsidRPr="005E3F0B">
        <w:rPr>
          <w:rFonts w:ascii="Arial" w:hAnsi="Arial" w:cs="Arial"/>
        </w:rPr>
        <w:t>Cualquier otra actividad relacionada con el ámbito agrario y agroalimentario que le sea encomendada por el Departamento del Gobierno de Navarra competente en la materia.</w:t>
      </w:r>
    </w:p>
    <w:p w14:paraId="1BBD776B" w14:textId="77777777" w:rsidR="009B0B40" w:rsidRDefault="009B0B40" w:rsidP="001E1C0D">
      <w:pPr>
        <w:spacing w:before="200" w:line="276" w:lineRule="auto"/>
        <w:jc w:val="both"/>
        <w:rPr>
          <w:rFonts w:ascii="Arial" w:hAnsi="Arial" w:cs="Arial"/>
        </w:rPr>
      </w:pPr>
      <w:r w:rsidRPr="005E3F0B">
        <w:rPr>
          <w:rFonts w:ascii="Arial" w:hAnsi="Arial" w:cs="Arial"/>
        </w:rPr>
        <w:t xml:space="preserve">Las mencionadas </w:t>
      </w:r>
      <w:r>
        <w:rPr>
          <w:rFonts w:ascii="Arial" w:hAnsi="Arial" w:cs="Arial"/>
        </w:rPr>
        <w:t>actividades integrantes del objeto social podrán ser realizadas por la Sociedad total o parcialmente de modo indirecto, a través de su participación en cualquier otro tipo de sociedad, asociación, entidad u organismo, público o privado, con o sin personalidad jurídica de objeto análogo o idéntico. Quedan excluidas todas aquellas actividades para cuyo ejercicio la ley exija requisitos especiales que no queden cumplidos por esta Sociedad.</w:t>
      </w:r>
    </w:p>
    <w:p w14:paraId="4E9B0CDA" w14:textId="77777777" w:rsidR="009B0B40" w:rsidRPr="005E3F0B" w:rsidRDefault="009B0B40" w:rsidP="001E1C0D">
      <w:pPr>
        <w:spacing w:before="200" w:line="276" w:lineRule="auto"/>
        <w:jc w:val="both"/>
        <w:rPr>
          <w:rFonts w:ascii="Arial" w:hAnsi="Arial" w:cs="Arial"/>
        </w:rPr>
      </w:pPr>
      <w:r>
        <w:rPr>
          <w:rFonts w:ascii="Arial" w:hAnsi="Arial" w:cs="Arial"/>
        </w:rPr>
        <w:t>La Sociedad no podrá realizar ninguna de las actividades determinadas en los párrafos anteriores en el caso de que impliquen directa o indirectamente ejercicio de autoridad y otras potestades inherentes a los poderes públicos y en todo caso aquel</w:t>
      </w:r>
      <w:r w:rsidR="00536361">
        <w:rPr>
          <w:rFonts w:ascii="Arial" w:hAnsi="Arial" w:cs="Arial"/>
        </w:rPr>
        <w:t>las</w:t>
      </w:r>
      <w:r>
        <w:rPr>
          <w:rFonts w:ascii="Arial" w:hAnsi="Arial" w:cs="Arial"/>
        </w:rPr>
        <w:t xml:space="preserve"> que </w:t>
      </w:r>
      <w:r w:rsidR="004E0526">
        <w:rPr>
          <w:rFonts w:ascii="Arial" w:hAnsi="Arial" w:cs="Arial"/>
        </w:rPr>
        <w:t>no estén permitidas legalmente.</w:t>
      </w:r>
    </w:p>
    <w:p w14:paraId="2D48DDE4" w14:textId="77777777" w:rsidR="009B0B40" w:rsidRDefault="009B0B40" w:rsidP="001E1C0D">
      <w:pPr>
        <w:spacing w:before="200" w:line="276" w:lineRule="auto"/>
        <w:jc w:val="both"/>
        <w:rPr>
          <w:rFonts w:ascii="Arial" w:hAnsi="Arial" w:cs="Arial"/>
        </w:rPr>
      </w:pPr>
      <w:r>
        <w:rPr>
          <w:rFonts w:ascii="Arial" w:hAnsi="Arial" w:cs="Arial"/>
        </w:rPr>
        <w:t>INTIA, S.A.</w:t>
      </w:r>
      <w:r w:rsidRPr="00284600">
        <w:rPr>
          <w:rFonts w:ascii="Arial" w:hAnsi="Arial" w:cs="Arial"/>
        </w:rPr>
        <w:t xml:space="preserve"> pertenece a un grupo de sociedades, en los términos previstos en el artículo 42 del Código de Comercio. La empresa dominante directa es </w:t>
      </w:r>
      <w:smartTag w:uri="urn:schemas-microsoft-com:office:smarttags" w:element="PersonName">
        <w:smartTagPr>
          <w:attr w:name="ProductID" w:val="la Corporación Pública Empresarial"/>
        </w:smartTagPr>
        <w:r w:rsidRPr="00284600">
          <w:rPr>
            <w:rFonts w:ascii="Arial" w:hAnsi="Arial" w:cs="Arial"/>
          </w:rPr>
          <w:t>la Corporación Pública Empresarial</w:t>
        </w:r>
      </w:smartTag>
      <w:r w:rsidRPr="00284600">
        <w:rPr>
          <w:rFonts w:ascii="Arial" w:hAnsi="Arial" w:cs="Arial"/>
        </w:rPr>
        <w:t xml:space="preserve"> de Navarra, S.L.U.</w:t>
      </w:r>
    </w:p>
    <w:p w14:paraId="5F752D5F" w14:textId="77777777" w:rsidR="009B0B40" w:rsidRDefault="009B0B40" w:rsidP="001E1C0D">
      <w:pPr>
        <w:spacing w:before="200" w:line="276" w:lineRule="auto"/>
        <w:jc w:val="both"/>
        <w:rPr>
          <w:rFonts w:ascii="Arial" w:hAnsi="Arial" w:cs="Arial"/>
        </w:rPr>
      </w:pPr>
      <w:r>
        <w:rPr>
          <w:rFonts w:ascii="Arial" w:hAnsi="Arial" w:cs="Arial"/>
        </w:rPr>
        <w:t>El domicilio social de INTIA, S.A. se encuentra en Edificio Peritos, Avenida Serapio Huici 20-22, 31610 en Villava (Navarra).</w:t>
      </w:r>
    </w:p>
    <w:p w14:paraId="2D5A8289" w14:textId="77777777" w:rsidR="009B0B40" w:rsidRPr="00284600" w:rsidRDefault="009B0B40" w:rsidP="001E1C0D">
      <w:pPr>
        <w:spacing w:before="200" w:line="276" w:lineRule="auto"/>
        <w:jc w:val="both"/>
        <w:rPr>
          <w:rFonts w:ascii="Arial" w:hAnsi="Arial" w:cs="Arial"/>
        </w:rPr>
      </w:pPr>
      <w:r>
        <w:rPr>
          <w:rFonts w:ascii="Arial" w:hAnsi="Arial" w:cs="Arial"/>
        </w:rPr>
        <w:t>La moneda funcional en la que opera la sociedad es el euro.</w:t>
      </w:r>
    </w:p>
    <w:p w14:paraId="044E8044" w14:textId="77777777" w:rsidR="009B0B40" w:rsidRPr="0013770B" w:rsidRDefault="009B0B40" w:rsidP="00BE6AC4">
      <w:pPr>
        <w:pStyle w:val="Ttulo1"/>
        <w:spacing w:before="240" w:line="276" w:lineRule="auto"/>
        <w:jc w:val="both"/>
        <w:rPr>
          <w:rFonts w:ascii="EurostileT" w:hAnsi="EurostileT"/>
          <w:color w:val="005BA6"/>
          <w:sz w:val="28"/>
          <w:szCs w:val="28"/>
        </w:rPr>
      </w:pPr>
      <w:bookmarkStart w:id="3" w:name="_Toc130191097"/>
      <w:bookmarkStart w:id="4" w:name="_Toc350855611"/>
      <w:r w:rsidRPr="0013770B">
        <w:rPr>
          <w:rFonts w:ascii="EurostileT" w:hAnsi="EurostileT"/>
          <w:color w:val="005BA6"/>
          <w:sz w:val="28"/>
          <w:szCs w:val="28"/>
        </w:rPr>
        <w:t>2. BASES DE PRESENTACIÓN DE LAS CUENTAS ANUALES</w:t>
      </w:r>
      <w:bookmarkEnd w:id="3"/>
      <w:bookmarkEnd w:id="4"/>
    </w:p>
    <w:p w14:paraId="529B508C" w14:textId="77777777" w:rsidR="009B0B40" w:rsidRDefault="009B0B40" w:rsidP="00BE6AC4">
      <w:pPr>
        <w:tabs>
          <w:tab w:val="right" w:pos="9214"/>
        </w:tabs>
        <w:spacing w:before="240" w:line="276" w:lineRule="auto"/>
        <w:jc w:val="both"/>
        <w:rPr>
          <w:rFonts w:ascii="Arial" w:hAnsi="Arial" w:cs="Arial"/>
        </w:rPr>
      </w:pPr>
      <w:r w:rsidRPr="00284600">
        <w:rPr>
          <w:rFonts w:ascii="Arial" w:hAnsi="Arial" w:cs="Arial"/>
        </w:rPr>
        <w:t xml:space="preserve">Las cuentas anuales se han preparado de acuerdo con el Plan General de Contabilidad aprobado por el Real Decreto 1514/2007, de 16 de noviembre, el cual </w:t>
      </w:r>
      <w:r w:rsidR="005B7246">
        <w:rPr>
          <w:rFonts w:ascii="Arial" w:hAnsi="Arial" w:cs="Arial"/>
        </w:rPr>
        <w:t>fue</w:t>
      </w:r>
      <w:r w:rsidRPr="00284600">
        <w:rPr>
          <w:rFonts w:ascii="Arial" w:hAnsi="Arial" w:cs="Arial"/>
        </w:rPr>
        <w:t xml:space="preserve"> modificado</w:t>
      </w:r>
      <w:r w:rsidR="006C53B7">
        <w:rPr>
          <w:rFonts w:ascii="Arial" w:hAnsi="Arial" w:cs="Arial"/>
        </w:rPr>
        <w:t xml:space="preserve"> en el 2016</w:t>
      </w:r>
      <w:r w:rsidRPr="00284600">
        <w:rPr>
          <w:rFonts w:ascii="Arial" w:hAnsi="Arial" w:cs="Arial"/>
        </w:rPr>
        <w:t xml:space="preserve"> por el Real Decreto </w:t>
      </w:r>
      <w:r w:rsidR="006C53B7">
        <w:rPr>
          <w:rFonts w:ascii="Arial" w:hAnsi="Arial" w:cs="Arial"/>
        </w:rPr>
        <w:t>602/2016</w:t>
      </w:r>
      <w:r w:rsidRPr="00284600">
        <w:rPr>
          <w:rFonts w:ascii="Arial" w:hAnsi="Arial" w:cs="Arial"/>
        </w:rPr>
        <w:t xml:space="preserve">, de </w:t>
      </w:r>
      <w:r w:rsidR="006C53B7">
        <w:rPr>
          <w:rFonts w:ascii="Arial" w:hAnsi="Arial" w:cs="Arial"/>
        </w:rPr>
        <w:t>2</w:t>
      </w:r>
      <w:r w:rsidRPr="00284600">
        <w:rPr>
          <w:rFonts w:ascii="Arial" w:hAnsi="Arial" w:cs="Arial"/>
        </w:rPr>
        <w:t xml:space="preserve"> de </w:t>
      </w:r>
      <w:r w:rsidR="006C53B7">
        <w:rPr>
          <w:rFonts w:ascii="Arial" w:hAnsi="Arial" w:cs="Arial"/>
        </w:rPr>
        <w:t>diciembre</w:t>
      </w:r>
      <w:r w:rsidRPr="00284600">
        <w:rPr>
          <w:rFonts w:ascii="Arial" w:hAnsi="Arial" w:cs="Arial"/>
        </w:rPr>
        <w:t>, así como con el resto de la legislación mercantil vigente.</w:t>
      </w:r>
    </w:p>
    <w:p w14:paraId="2B6DEC45" w14:textId="77777777" w:rsidR="009B0B40" w:rsidRPr="006C53B7" w:rsidRDefault="009B0B40" w:rsidP="00BE6AC4">
      <w:pPr>
        <w:pStyle w:val="Textoindependiente"/>
        <w:spacing w:before="240" w:line="276" w:lineRule="auto"/>
        <w:rPr>
          <w:rFonts w:ascii="Arial" w:hAnsi="Arial" w:cs="Arial"/>
        </w:rPr>
      </w:pPr>
      <w:r w:rsidRPr="006C53B7">
        <w:rPr>
          <w:rFonts w:ascii="Arial" w:hAnsi="Arial" w:cs="Arial"/>
        </w:rPr>
        <w:t xml:space="preserve">Las cuentas anuales han sido formuladas por los Administradores de la Sociedad para su sometimiento a la aprobación </w:t>
      </w:r>
      <w:r w:rsidR="00F14376">
        <w:rPr>
          <w:rFonts w:ascii="Arial" w:hAnsi="Arial" w:cs="Arial"/>
        </w:rPr>
        <w:t>del accionista único</w:t>
      </w:r>
      <w:r w:rsidRPr="006C53B7">
        <w:rPr>
          <w:rFonts w:ascii="Arial" w:hAnsi="Arial" w:cs="Arial"/>
        </w:rPr>
        <w:t>, estimándose que serán aprobadas sin ninguna modificación.</w:t>
      </w:r>
    </w:p>
    <w:p w14:paraId="330DCBA3" w14:textId="77777777" w:rsidR="009B0B40" w:rsidRPr="008A482C" w:rsidRDefault="009B0B40" w:rsidP="00BE6AC4">
      <w:pPr>
        <w:widowControl w:val="0"/>
        <w:autoSpaceDE w:val="0"/>
        <w:autoSpaceDN w:val="0"/>
        <w:adjustRightInd w:val="0"/>
        <w:spacing w:before="240" w:line="276" w:lineRule="auto"/>
        <w:jc w:val="both"/>
        <w:rPr>
          <w:rFonts w:ascii="Arial" w:hAnsi="Arial" w:cs="Arial"/>
          <w:color w:val="000000"/>
        </w:rPr>
      </w:pPr>
      <w:r w:rsidRPr="006C53B7">
        <w:rPr>
          <w:rFonts w:ascii="Arial" w:hAnsi="Arial" w:cs="Arial"/>
          <w:color w:val="000000"/>
        </w:rPr>
        <w:t>Las cifras incluidas</w:t>
      </w:r>
      <w:r w:rsidRPr="008A482C">
        <w:rPr>
          <w:rFonts w:ascii="Arial" w:hAnsi="Arial" w:cs="Arial"/>
          <w:color w:val="000000"/>
        </w:rPr>
        <w:t xml:space="preserve"> en las cuentas anuales están expresadas</w:t>
      </w:r>
      <w:r w:rsidR="007A74BB">
        <w:rPr>
          <w:rFonts w:ascii="Arial" w:hAnsi="Arial" w:cs="Arial"/>
          <w:color w:val="000000"/>
        </w:rPr>
        <w:t xml:space="preserve"> en </w:t>
      </w:r>
      <w:r w:rsidRPr="008A482C">
        <w:rPr>
          <w:rFonts w:ascii="Arial" w:hAnsi="Arial" w:cs="Arial"/>
          <w:color w:val="000000"/>
        </w:rPr>
        <w:t>euros, salvo que se indique lo contrario.</w:t>
      </w:r>
    </w:p>
    <w:p w14:paraId="334A0B60" w14:textId="77777777" w:rsidR="009B0B40" w:rsidRDefault="009B0B40" w:rsidP="00BE6AC4">
      <w:pPr>
        <w:pStyle w:val="Ttulo2"/>
        <w:spacing w:before="240" w:line="276" w:lineRule="auto"/>
      </w:pPr>
      <w:r>
        <w:t>2.</w:t>
      </w:r>
      <w:r w:rsidRPr="005A20FC">
        <w:t>1</w:t>
      </w:r>
      <w:r>
        <w:tab/>
      </w:r>
      <w:r w:rsidRPr="005A20FC">
        <w:t>Imagen Fiel.</w:t>
      </w:r>
    </w:p>
    <w:p w14:paraId="3AA32F94" w14:textId="77777777" w:rsidR="009B0B40" w:rsidRPr="006C53B7" w:rsidRDefault="009B0B40" w:rsidP="00BE6AC4">
      <w:pPr>
        <w:pStyle w:val="Sangra3detindependiente"/>
        <w:widowControl w:val="0"/>
        <w:tabs>
          <w:tab w:val="clear" w:pos="1134"/>
          <w:tab w:val="clear" w:pos="4320"/>
          <w:tab w:val="left" w:pos="3700"/>
          <w:tab w:val="right" w:pos="4962"/>
          <w:tab w:val="decimal" w:pos="6340"/>
          <w:tab w:val="left" w:pos="6800"/>
        </w:tabs>
        <w:spacing w:before="240" w:line="276" w:lineRule="auto"/>
        <w:ind w:firstLine="0"/>
        <w:rPr>
          <w:rFonts w:ascii="Arial" w:hAnsi="Arial" w:cs="Arial"/>
          <w:sz w:val="20"/>
          <w:szCs w:val="20"/>
        </w:rPr>
      </w:pPr>
      <w:r w:rsidRPr="006C53B7">
        <w:rPr>
          <w:rFonts w:ascii="Arial" w:hAnsi="Arial" w:cs="Arial"/>
          <w:sz w:val="20"/>
          <w:szCs w:val="20"/>
        </w:rPr>
        <w:t>Las cuentas anuales se han preparado a partir de los registros contables de INTIA, S.A. habiéndose aplicado las disposiciones legales vigentes en materia contable con objeto de mostrar la imagen fiel del patrimonio, de la situación financiera, de los resultados de la Sociedad así como de la veracidad de los flujos incorporados en el estado de flujos de efectivo.</w:t>
      </w:r>
    </w:p>
    <w:p w14:paraId="2165021B" w14:textId="77777777" w:rsidR="009B0B40" w:rsidRDefault="009B0B40" w:rsidP="00BE6AC4">
      <w:pPr>
        <w:pStyle w:val="Ttulo2"/>
        <w:spacing w:before="240" w:line="276" w:lineRule="auto"/>
      </w:pPr>
      <w:r>
        <w:t>2.2</w:t>
      </w:r>
      <w:r w:rsidRPr="005A20FC">
        <w:t xml:space="preserve"> </w:t>
      </w:r>
      <w:r>
        <w:tab/>
      </w:r>
      <w:r w:rsidRPr="005A20FC">
        <w:t>Aspectos críticos de la valoración y estimación de la incertidumbre.</w:t>
      </w:r>
    </w:p>
    <w:p w14:paraId="3B0E8845" w14:textId="77777777" w:rsidR="009B0B40" w:rsidRPr="00C874B6" w:rsidRDefault="009B0B40" w:rsidP="00BE6AC4">
      <w:pPr>
        <w:autoSpaceDE w:val="0"/>
        <w:autoSpaceDN w:val="0"/>
        <w:adjustRightInd w:val="0"/>
        <w:spacing w:before="240" w:line="276" w:lineRule="auto"/>
        <w:jc w:val="both"/>
        <w:rPr>
          <w:rFonts w:ascii="Arial" w:hAnsi="Arial" w:cs="Arial"/>
          <w:color w:val="000000"/>
        </w:rPr>
      </w:pPr>
      <w:r w:rsidRPr="00C874B6">
        <w:rPr>
          <w:rFonts w:ascii="Arial" w:hAnsi="Arial" w:cs="Arial"/>
          <w:color w:val="000000"/>
        </w:rPr>
        <w:t>En la preparación de las cuentas anuales de la Sociedad, los Administradores han realizado estimaciones para determinar el valor contable de algunos de los activos, pasivos, ingresos y gastos y sobre los desgloses de los pasivos contingentes.</w:t>
      </w:r>
      <w:r w:rsidRPr="00C874B6" w:rsidDel="00262B78">
        <w:rPr>
          <w:rFonts w:ascii="Arial" w:hAnsi="Arial" w:cs="Arial"/>
          <w:color w:val="000000"/>
        </w:rPr>
        <w:t xml:space="preserve"> </w:t>
      </w:r>
      <w:r w:rsidRPr="00C874B6">
        <w:rPr>
          <w:rFonts w:ascii="Arial" w:hAnsi="Arial" w:cs="Arial"/>
          <w:color w:val="000000"/>
        </w:rPr>
        <w:t>Estas estimaciones se han realizado sobre la base de la mejor información disponible al cierre del ejercicio. Sin embargo, dada la incertidumbre inherente a las mismas podrían surgir acontecimientos futuros que obliguen a modificarlas en los próximos ejercicios, lo cual se realizaría, en su caso, de forma prospectiva.</w:t>
      </w:r>
    </w:p>
    <w:p w14:paraId="378E9D54" w14:textId="77777777" w:rsidR="009B0B40" w:rsidRDefault="009B0B40" w:rsidP="00BE6AC4">
      <w:pPr>
        <w:spacing w:before="240" w:line="276" w:lineRule="auto"/>
        <w:jc w:val="both"/>
        <w:rPr>
          <w:rFonts w:ascii="Arial" w:hAnsi="Arial" w:cs="Arial"/>
        </w:rPr>
      </w:pPr>
      <w:r>
        <w:rPr>
          <w:rFonts w:ascii="Arial" w:hAnsi="Arial" w:cs="Arial"/>
        </w:rPr>
        <w:t>Salvo el punto anteriormente mencionado, l</w:t>
      </w:r>
      <w:r w:rsidRPr="009E70D9">
        <w:rPr>
          <w:rFonts w:ascii="Arial" w:hAnsi="Arial" w:cs="Arial"/>
        </w:rPr>
        <w:t>a dirección no es consciente de la existencia de incertidumbres importantes que puedan suponer cambios significativos en el valor de lo</w:t>
      </w:r>
      <w:r>
        <w:rPr>
          <w:rFonts w:ascii="Arial" w:hAnsi="Arial" w:cs="Arial"/>
        </w:rPr>
        <w:t>s activos y pasivos del balance.</w:t>
      </w:r>
    </w:p>
    <w:p w14:paraId="75366652" w14:textId="77777777" w:rsidR="009B0B40" w:rsidRDefault="009B0B40" w:rsidP="00BE6AC4">
      <w:pPr>
        <w:pStyle w:val="Ttulo2"/>
        <w:spacing w:before="240" w:line="276" w:lineRule="auto"/>
      </w:pPr>
      <w:r>
        <w:t>2.3</w:t>
      </w:r>
      <w:r w:rsidRPr="005A20FC">
        <w:t xml:space="preserve"> </w:t>
      </w:r>
      <w:r>
        <w:tab/>
      </w:r>
      <w:r w:rsidRPr="005A20FC">
        <w:t>Comparación de la información</w:t>
      </w:r>
      <w:r>
        <w:t>.</w:t>
      </w:r>
    </w:p>
    <w:p w14:paraId="43004A94" w14:textId="77777777" w:rsidR="009B0B40" w:rsidRDefault="009B0B40" w:rsidP="00BE6AC4">
      <w:pPr>
        <w:pStyle w:val="Textoindependiente"/>
        <w:tabs>
          <w:tab w:val="clear" w:pos="720"/>
          <w:tab w:val="clear" w:pos="4320"/>
        </w:tabs>
        <w:spacing w:before="240" w:line="276" w:lineRule="auto"/>
        <w:rPr>
          <w:rFonts w:ascii="Arial" w:hAnsi="Arial" w:cs="Arial"/>
        </w:rPr>
      </w:pPr>
      <w:r w:rsidRPr="006C53B7">
        <w:rPr>
          <w:rFonts w:ascii="Arial" w:hAnsi="Arial" w:cs="Arial"/>
        </w:rPr>
        <w:t>De acuerdo con la legislación mercantil, se presenta, a efectos comparativos, con cada una de las partidas del balance, de la cuenta de pérdidas y ganancias, del estado de cambios en el patrimonio neto y del estado de flujos de efectivo, además de las cifras del ejercicio 201</w:t>
      </w:r>
      <w:r w:rsidR="00505371">
        <w:rPr>
          <w:rFonts w:ascii="Arial" w:hAnsi="Arial" w:cs="Arial"/>
        </w:rPr>
        <w:t>9</w:t>
      </w:r>
      <w:r w:rsidRPr="006C53B7">
        <w:rPr>
          <w:rFonts w:ascii="Arial" w:hAnsi="Arial" w:cs="Arial"/>
        </w:rPr>
        <w:t>, las correspondientes al ejercicio anterior. En la memoria también se incluye información cuantitativa del ejercicio anterior, salvo cuando una norma contable específicamente establece que no es necesario.</w:t>
      </w:r>
    </w:p>
    <w:p w14:paraId="7D39F417" w14:textId="77777777" w:rsidR="006F2433" w:rsidRDefault="006F2433" w:rsidP="00BE6AC4">
      <w:pPr>
        <w:pStyle w:val="Textoindependiente"/>
        <w:tabs>
          <w:tab w:val="clear" w:pos="720"/>
          <w:tab w:val="clear" w:pos="4320"/>
        </w:tabs>
        <w:spacing w:before="240" w:line="276" w:lineRule="auto"/>
        <w:rPr>
          <w:rFonts w:ascii="Arial" w:hAnsi="Arial" w:cs="Arial"/>
        </w:rPr>
      </w:pPr>
    </w:p>
    <w:p w14:paraId="33561EE0" w14:textId="77777777" w:rsidR="006F2433" w:rsidRPr="006C53B7" w:rsidRDefault="006F2433" w:rsidP="00BE6AC4">
      <w:pPr>
        <w:pStyle w:val="Textoindependiente"/>
        <w:tabs>
          <w:tab w:val="clear" w:pos="720"/>
          <w:tab w:val="clear" w:pos="4320"/>
        </w:tabs>
        <w:spacing w:before="240" w:line="276" w:lineRule="auto"/>
        <w:rPr>
          <w:rFonts w:ascii="Arial" w:hAnsi="Arial" w:cs="Arial"/>
        </w:rPr>
      </w:pPr>
    </w:p>
    <w:p w14:paraId="09EB4F6B" w14:textId="77777777" w:rsidR="005B7246" w:rsidRDefault="005B7246" w:rsidP="006C53B7">
      <w:pPr>
        <w:tabs>
          <w:tab w:val="right" w:pos="7230"/>
          <w:tab w:val="right" w:pos="9214"/>
        </w:tabs>
        <w:spacing w:line="276" w:lineRule="auto"/>
        <w:jc w:val="both"/>
        <w:rPr>
          <w:rFonts w:ascii="Arial" w:hAnsi="Arial" w:cs="Arial"/>
        </w:rPr>
      </w:pPr>
    </w:p>
    <w:p w14:paraId="23527FC2" w14:textId="77777777" w:rsidR="006C53B7" w:rsidRDefault="006C53B7" w:rsidP="006C53B7">
      <w:pPr>
        <w:tabs>
          <w:tab w:val="right" w:pos="7230"/>
          <w:tab w:val="right" w:pos="9214"/>
        </w:tabs>
        <w:spacing w:line="276" w:lineRule="auto"/>
        <w:jc w:val="both"/>
        <w:rPr>
          <w:rFonts w:ascii="EurostileTMed" w:hAnsi="EurostileTMed"/>
          <w:b/>
          <w:color w:val="005BA6"/>
          <w:sz w:val="28"/>
        </w:rPr>
      </w:pPr>
      <w:r>
        <w:rPr>
          <w:rFonts w:ascii="EurostileTMed" w:hAnsi="EurostileTMed"/>
          <w:b/>
          <w:color w:val="005BA6"/>
          <w:sz w:val="28"/>
        </w:rPr>
        <w:t>2.4  Principio de empresa en funcionamiento</w:t>
      </w:r>
    </w:p>
    <w:p w14:paraId="2EFBFEAF" w14:textId="77777777" w:rsidR="006C53B7" w:rsidRDefault="006C53B7" w:rsidP="006C53B7">
      <w:pPr>
        <w:tabs>
          <w:tab w:val="right" w:pos="7230"/>
          <w:tab w:val="right" w:pos="9214"/>
        </w:tabs>
        <w:spacing w:line="276" w:lineRule="auto"/>
        <w:jc w:val="both"/>
        <w:rPr>
          <w:rFonts w:ascii="EurostileTMed" w:hAnsi="EurostileTMed"/>
          <w:b/>
          <w:color w:val="005BA6"/>
          <w:sz w:val="28"/>
        </w:rPr>
      </w:pPr>
    </w:p>
    <w:p w14:paraId="146644D0" w14:textId="77777777" w:rsidR="006C53B7" w:rsidRPr="006C53B7" w:rsidRDefault="006C53B7" w:rsidP="00660197">
      <w:pPr>
        <w:spacing w:line="276" w:lineRule="auto"/>
        <w:jc w:val="both"/>
        <w:rPr>
          <w:rFonts w:ascii="Arial" w:hAnsi="Arial" w:cs="Arial"/>
        </w:rPr>
      </w:pPr>
      <w:r w:rsidRPr="006C53B7">
        <w:rPr>
          <w:rFonts w:ascii="Arial" w:hAnsi="Arial" w:cs="Arial"/>
        </w:rPr>
        <w:t>La Sociedad se encuentra a 31 de diciembre de 201</w:t>
      </w:r>
      <w:r w:rsidR="00505371">
        <w:rPr>
          <w:rFonts w:ascii="Arial" w:hAnsi="Arial" w:cs="Arial"/>
        </w:rPr>
        <w:t>9</w:t>
      </w:r>
      <w:r w:rsidRPr="006C53B7">
        <w:rPr>
          <w:rFonts w:ascii="Arial" w:hAnsi="Arial" w:cs="Arial"/>
        </w:rPr>
        <w:t xml:space="preserve"> con unos fondos propios </w:t>
      </w:r>
      <w:r w:rsidR="00E40F29">
        <w:rPr>
          <w:rFonts w:ascii="Arial" w:hAnsi="Arial" w:cs="Arial"/>
        </w:rPr>
        <w:t>positivos</w:t>
      </w:r>
      <w:r w:rsidRPr="006C53B7">
        <w:rPr>
          <w:rFonts w:ascii="Arial" w:hAnsi="Arial" w:cs="Arial"/>
        </w:rPr>
        <w:t xml:space="preserve"> de </w:t>
      </w:r>
      <w:r w:rsidR="00505371">
        <w:rPr>
          <w:rFonts w:ascii="Arial" w:hAnsi="Arial" w:cs="Arial"/>
        </w:rPr>
        <w:t>2.075.121,88</w:t>
      </w:r>
      <w:r w:rsidRPr="006C53B7">
        <w:rPr>
          <w:rFonts w:ascii="Arial" w:hAnsi="Arial" w:cs="Arial"/>
        </w:rPr>
        <w:t xml:space="preserve"> euros. </w:t>
      </w:r>
      <w:r w:rsidR="00E40F29">
        <w:rPr>
          <w:rFonts w:ascii="Arial" w:hAnsi="Arial" w:cs="Arial"/>
        </w:rPr>
        <w:t>El</w:t>
      </w:r>
      <w:r>
        <w:rPr>
          <w:rFonts w:ascii="Arial" w:hAnsi="Arial" w:cs="Arial"/>
        </w:rPr>
        <w:t xml:space="preserve"> Patrimonio neto</w:t>
      </w:r>
      <w:r w:rsidRPr="006C53B7">
        <w:rPr>
          <w:rFonts w:ascii="Arial" w:hAnsi="Arial" w:cs="Arial"/>
        </w:rPr>
        <w:t xml:space="preserve"> es positivo por importe de </w:t>
      </w:r>
      <w:r w:rsidR="00505371">
        <w:rPr>
          <w:rFonts w:ascii="Arial" w:hAnsi="Arial" w:cs="Arial"/>
        </w:rPr>
        <w:t>3.757.617,96</w:t>
      </w:r>
      <w:r w:rsidRPr="006C53B7">
        <w:rPr>
          <w:rFonts w:ascii="Arial" w:hAnsi="Arial" w:cs="Arial"/>
        </w:rPr>
        <w:t xml:space="preserve"> euros </w:t>
      </w:r>
      <w:r w:rsidR="00660197">
        <w:rPr>
          <w:rFonts w:ascii="Arial" w:hAnsi="Arial" w:cs="Arial"/>
        </w:rPr>
        <w:t>ten</w:t>
      </w:r>
      <w:r w:rsidR="0027685B">
        <w:rPr>
          <w:rFonts w:ascii="Arial" w:hAnsi="Arial" w:cs="Arial"/>
        </w:rPr>
        <w:t>i</w:t>
      </w:r>
      <w:r w:rsidR="00660197">
        <w:rPr>
          <w:rFonts w:ascii="Arial" w:hAnsi="Arial" w:cs="Arial"/>
        </w:rPr>
        <w:t>endo</w:t>
      </w:r>
      <w:r w:rsidRPr="006C53B7">
        <w:rPr>
          <w:rFonts w:ascii="Arial" w:hAnsi="Arial" w:cs="Arial"/>
        </w:rPr>
        <w:t xml:space="preserve"> en cuenta las subvenciones de capital pendientes de imputar a resultados.</w:t>
      </w:r>
    </w:p>
    <w:p w14:paraId="326A8CBF" w14:textId="77777777" w:rsidR="005B7246" w:rsidRDefault="002053BE" w:rsidP="00660197">
      <w:pPr>
        <w:tabs>
          <w:tab w:val="right" w:pos="7230"/>
          <w:tab w:val="right" w:pos="9214"/>
        </w:tabs>
        <w:spacing w:line="276" w:lineRule="auto"/>
        <w:jc w:val="both"/>
        <w:rPr>
          <w:rFonts w:ascii="Arial" w:hAnsi="Arial" w:cs="Arial"/>
        </w:rPr>
      </w:pPr>
      <w:r>
        <w:rPr>
          <w:rFonts w:ascii="Arial" w:hAnsi="Arial" w:cs="Arial"/>
        </w:rPr>
        <w:t>Durante el ejercicio 201</w:t>
      </w:r>
      <w:r w:rsidR="00505371">
        <w:rPr>
          <w:rFonts w:ascii="Arial" w:hAnsi="Arial" w:cs="Arial"/>
        </w:rPr>
        <w:t>9</w:t>
      </w:r>
      <w:r>
        <w:rPr>
          <w:rFonts w:ascii="Arial" w:hAnsi="Arial" w:cs="Arial"/>
        </w:rPr>
        <w:t xml:space="preserve"> la Sociedad ha recibido de su Accionista Único una aportación dineraria de 1.500.000 euros</w:t>
      </w:r>
      <w:r w:rsidR="00505371">
        <w:rPr>
          <w:rFonts w:ascii="Arial" w:hAnsi="Arial" w:cs="Arial"/>
        </w:rPr>
        <w:t xml:space="preserve"> </w:t>
      </w:r>
      <w:r w:rsidR="005B7246">
        <w:rPr>
          <w:rFonts w:ascii="Arial" w:hAnsi="Arial" w:cs="Arial"/>
        </w:rPr>
        <w:t>con la finalidad de reforzar</w:t>
      </w:r>
      <w:r w:rsidR="004210EF">
        <w:rPr>
          <w:rFonts w:ascii="Arial" w:hAnsi="Arial" w:cs="Arial"/>
        </w:rPr>
        <w:t xml:space="preserve"> financiera y </w:t>
      </w:r>
      <w:r w:rsidR="005B7246">
        <w:rPr>
          <w:rFonts w:ascii="Arial" w:hAnsi="Arial" w:cs="Arial"/>
        </w:rPr>
        <w:t>patrimonialmente a la Sociedad.</w:t>
      </w:r>
    </w:p>
    <w:p w14:paraId="3CA6432B" w14:textId="77777777" w:rsidR="005B7246" w:rsidRDefault="005B7246" w:rsidP="006C53B7">
      <w:pPr>
        <w:tabs>
          <w:tab w:val="right" w:pos="7230"/>
          <w:tab w:val="right" w:pos="9214"/>
        </w:tabs>
        <w:spacing w:line="276" w:lineRule="auto"/>
        <w:jc w:val="both"/>
        <w:rPr>
          <w:rFonts w:ascii="Arial" w:hAnsi="Arial" w:cs="Arial"/>
        </w:rPr>
      </w:pPr>
    </w:p>
    <w:p w14:paraId="516BA2E9" w14:textId="77777777" w:rsidR="006C53B7" w:rsidRDefault="006C53B7" w:rsidP="006C53B7">
      <w:pPr>
        <w:tabs>
          <w:tab w:val="right" w:pos="7230"/>
          <w:tab w:val="right" w:pos="9214"/>
        </w:tabs>
        <w:spacing w:line="276" w:lineRule="auto"/>
        <w:jc w:val="both"/>
        <w:rPr>
          <w:rFonts w:ascii="Arial" w:hAnsi="Arial" w:cs="Arial"/>
        </w:rPr>
      </w:pPr>
      <w:r w:rsidRPr="006C53B7">
        <w:rPr>
          <w:rFonts w:ascii="Arial" w:hAnsi="Arial" w:cs="Arial"/>
        </w:rPr>
        <w:t>Por su parte, el fondo de maniobra de la sociedad al cierre del ejercicio es positivo en</w:t>
      </w:r>
      <w:r w:rsidR="006F6AA5">
        <w:rPr>
          <w:rFonts w:ascii="Arial" w:hAnsi="Arial" w:cs="Arial"/>
        </w:rPr>
        <w:t xml:space="preserve"> </w:t>
      </w:r>
      <w:r w:rsidR="00A7664B">
        <w:rPr>
          <w:rFonts w:ascii="Arial" w:hAnsi="Arial" w:cs="Arial"/>
        </w:rPr>
        <w:t>7.193.728,22</w:t>
      </w:r>
      <w:r w:rsidR="006F6AA5">
        <w:rPr>
          <w:rFonts w:ascii="Arial" w:hAnsi="Arial" w:cs="Arial"/>
        </w:rPr>
        <w:t xml:space="preserve"> </w:t>
      </w:r>
      <w:r w:rsidRPr="006C53B7">
        <w:rPr>
          <w:rFonts w:ascii="Arial" w:hAnsi="Arial" w:cs="Arial"/>
        </w:rPr>
        <w:t>euros</w:t>
      </w:r>
      <w:r w:rsidR="002053BE">
        <w:rPr>
          <w:rFonts w:ascii="Arial" w:hAnsi="Arial" w:cs="Arial"/>
        </w:rPr>
        <w:t xml:space="preserve"> y se ha obtenido un resultado </w:t>
      </w:r>
      <w:r w:rsidR="00505371">
        <w:rPr>
          <w:rFonts w:ascii="Arial" w:hAnsi="Arial" w:cs="Arial"/>
        </w:rPr>
        <w:t>negativo</w:t>
      </w:r>
      <w:r w:rsidR="002053BE">
        <w:rPr>
          <w:rFonts w:ascii="Arial" w:hAnsi="Arial" w:cs="Arial"/>
        </w:rPr>
        <w:t xml:space="preserve"> de </w:t>
      </w:r>
      <w:r w:rsidR="00505371">
        <w:rPr>
          <w:rFonts w:ascii="Arial" w:hAnsi="Arial" w:cs="Arial"/>
        </w:rPr>
        <w:t>-171.215,01</w:t>
      </w:r>
      <w:r w:rsidR="002053BE">
        <w:rPr>
          <w:rFonts w:ascii="Arial" w:hAnsi="Arial" w:cs="Arial"/>
        </w:rPr>
        <w:t xml:space="preserve"> euros.</w:t>
      </w:r>
      <w:r w:rsidR="00505371">
        <w:rPr>
          <w:rFonts w:ascii="Arial" w:hAnsi="Arial" w:cs="Arial"/>
        </w:rPr>
        <w:t xml:space="preserve"> </w:t>
      </w:r>
      <w:r w:rsidRPr="006C53B7">
        <w:rPr>
          <w:rFonts w:ascii="Arial" w:hAnsi="Arial" w:cs="Arial"/>
        </w:rPr>
        <w:t>En consecuencia, los Administradores de la Sociedad han preparado las cuentas anuales atendiendo al principio de empresa en funcionamiento.</w:t>
      </w:r>
    </w:p>
    <w:p w14:paraId="295599C4" w14:textId="77777777" w:rsidR="00292C62" w:rsidRPr="006C53B7" w:rsidRDefault="00292C62" w:rsidP="006C53B7">
      <w:pPr>
        <w:tabs>
          <w:tab w:val="right" w:pos="7230"/>
          <w:tab w:val="right" w:pos="9214"/>
        </w:tabs>
        <w:spacing w:line="276" w:lineRule="auto"/>
        <w:jc w:val="both"/>
        <w:rPr>
          <w:rFonts w:ascii="Arial" w:hAnsi="Arial" w:cs="Arial"/>
        </w:rPr>
      </w:pPr>
      <w:r>
        <w:rPr>
          <w:rFonts w:ascii="Arial" w:hAnsi="Arial" w:cs="Arial"/>
        </w:rPr>
        <w:t>.</w:t>
      </w:r>
    </w:p>
    <w:p w14:paraId="53F8B4DE" w14:textId="77777777" w:rsidR="009B0B40" w:rsidRPr="0013770B" w:rsidRDefault="009B0B40" w:rsidP="001E1C0D">
      <w:pPr>
        <w:pStyle w:val="Ttulo1"/>
        <w:spacing w:before="200" w:line="276" w:lineRule="auto"/>
        <w:rPr>
          <w:rFonts w:ascii="EurostileT" w:hAnsi="EurostileT"/>
          <w:color w:val="005BA6"/>
          <w:sz w:val="28"/>
          <w:szCs w:val="28"/>
        </w:rPr>
      </w:pPr>
      <w:bookmarkStart w:id="5" w:name="_Toc350855612"/>
      <w:r w:rsidRPr="0013770B">
        <w:rPr>
          <w:rFonts w:ascii="EurostileT" w:hAnsi="EurostileT"/>
          <w:color w:val="005BA6"/>
          <w:sz w:val="28"/>
          <w:szCs w:val="28"/>
        </w:rPr>
        <w:t>3. APLICACIÓN DE RESULTADOS</w:t>
      </w:r>
      <w:bookmarkEnd w:id="5"/>
    </w:p>
    <w:p w14:paraId="073F7920" w14:textId="77777777" w:rsidR="009B0B40" w:rsidRPr="005A4E36" w:rsidRDefault="009B0B40" w:rsidP="001E1C0D">
      <w:pPr>
        <w:widowControl w:val="0"/>
        <w:autoSpaceDE w:val="0"/>
        <w:autoSpaceDN w:val="0"/>
        <w:adjustRightInd w:val="0"/>
        <w:spacing w:before="200" w:line="276" w:lineRule="auto"/>
        <w:jc w:val="both"/>
        <w:rPr>
          <w:rFonts w:ascii="Arial" w:hAnsi="Arial" w:cs="Arial"/>
          <w:color w:val="000000"/>
        </w:rPr>
      </w:pPr>
      <w:r w:rsidRPr="005A4E36">
        <w:rPr>
          <w:rFonts w:ascii="Arial" w:hAnsi="Arial" w:cs="Arial"/>
          <w:color w:val="000000"/>
        </w:rPr>
        <w:t>La propuesta de distribución del resultado del ejercicio 201</w:t>
      </w:r>
      <w:r w:rsidR="00A7664B">
        <w:rPr>
          <w:rFonts w:ascii="Arial" w:hAnsi="Arial" w:cs="Arial"/>
          <w:color w:val="000000"/>
        </w:rPr>
        <w:t>9</w:t>
      </w:r>
      <w:r w:rsidRPr="005A4E36">
        <w:rPr>
          <w:rFonts w:ascii="Arial" w:hAnsi="Arial" w:cs="Arial"/>
          <w:color w:val="000000"/>
        </w:rPr>
        <w:t xml:space="preserve">, formulada por los Administradores y que se espera sea aprobada por la </w:t>
      </w:r>
      <w:r w:rsidR="004E0526">
        <w:rPr>
          <w:rFonts w:ascii="Arial" w:hAnsi="Arial" w:cs="Arial"/>
          <w:color w:val="000000"/>
        </w:rPr>
        <w:t>Accionista Único</w:t>
      </w:r>
      <w:r w:rsidRPr="005A4E36">
        <w:rPr>
          <w:rFonts w:ascii="Arial" w:hAnsi="Arial" w:cs="Arial"/>
          <w:color w:val="000000"/>
        </w:rPr>
        <w:t xml:space="preserve"> es la siguiente:</w:t>
      </w:r>
    </w:p>
    <w:p w14:paraId="29167740" w14:textId="77777777" w:rsidR="009B0B40" w:rsidRPr="006C53B7" w:rsidRDefault="009B0B40" w:rsidP="001E1C0D">
      <w:pPr>
        <w:pStyle w:val="Ttulo"/>
        <w:spacing w:before="200" w:line="276" w:lineRule="auto"/>
        <w:ind w:left="570"/>
        <w:jc w:val="left"/>
        <w:rPr>
          <w:rFonts w:ascii="Arial" w:hAnsi="Arial" w:cs="Arial"/>
          <w:color w:val="005BA6"/>
          <w:sz w:val="20"/>
          <w:szCs w:val="20"/>
        </w:rPr>
      </w:pPr>
      <w:r w:rsidRPr="006C53B7">
        <w:rPr>
          <w:rFonts w:ascii="Arial" w:hAnsi="Arial" w:cs="Arial"/>
          <w:color w:val="005BA6"/>
          <w:sz w:val="20"/>
          <w:szCs w:val="20"/>
        </w:rPr>
        <w:t>Base de Reparto</w:t>
      </w:r>
    </w:p>
    <w:p w14:paraId="5DE995AF" w14:textId="77777777" w:rsidR="009B0B40" w:rsidRPr="006C53B7" w:rsidRDefault="009B0B40" w:rsidP="001E1C0D">
      <w:pPr>
        <w:pStyle w:val="Ttulo"/>
        <w:spacing w:before="200" w:line="276" w:lineRule="auto"/>
        <w:ind w:left="570"/>
        <w:jc w:val="left"/>
        <w:rPr>
          <w:rFonts w:ascii="Arial" w:hAnsi="Arial" w:cs="Arial"/>
          <w:b w:val="0"/>
          <w:sz w:val="20"/>
          <w:szCs w:val="20"/>
        </w:rPr>
      </w:pPr>
      <w:r w:rsidRPr="006C53B7">
        <w:rPr>
          <w:rFonts w:ascii="Arial" w:hAnsi="Arial" w:cs="Arial"/>
          <w:b w:val="0"/>
          <w:sz w:val="20"/>
          <w:szCs w:val="20"/>
        </w:rPr>
        <w:t>Saldo de la cuenta de pérdidas y</w:t>
      </w:r>
      <w:r w:rsidR="003625A7">
        <w:rPr>
          <w:rFonts w:ascii="Arial" w:hAnsi="Arial" w:cs="Arial"/>
          <w:b w:val="0"/>
          <w:sz w:val="20"/>
          <w:szCs w:val="20"/>
        </w:rPr>
        <w:t xml:space="preserve"> ganancias ………………………………………….</w:t>
      </w:r>
      <w:r w:rsidRPr="006C53B7">
        <w:rPr>
          <w:rFonts w:ascii="Arial" w:hAnsi="Arial" w:cs="Arial"/>
          <w:b w:val="0"/>
          <w:sz w:val="20"/>
          <w:szCs w:val="20"/>
        </w:rPr>
        <w:t>.</w:t>
      </w:r>
      <w:r w:rsidR="00A7664B">
        <w:rPr>
          <w:rFonts w:ascii="Arial" w:hAnsi="Arial" w:cs="Arial"/>
          <w:b w:val="0"/>
          <w:sz w:val="20"/>
          <w:szCs w:val="20"/>
        </w:rPr>
        <w:t>-171.215,01</w:t>
      </w:r>
      <w:r w:rsidRPr="006C53B7">
        <w:rPr>
          <w:rFonts w:ascii="Arial" w:hAnsi="Arial" w:cs="Arial"/>
          <w:b w:val="0"/>
          <w:sz w:val="20"/>
          <w:szCs w:val="20"/>
        </w:rPr>
        <w:t>€</w:t>
      </w:r>
    </w:p>
    <w:p w14:paraId="652046B2" w14:textId="77777777" w:rsidR="009B0B40" w:rsidRPr="006C53B7" w:rsidRDefault="009B0B40" w:rsidP="001E1C0D">
      <w:pPr>
        <w:pStyle w:val="Ttulo"/>
        <w:spacing w:before="200" w:line="276" w:lineRule="auto"/>
        <w:ind w:left="570"/>
        <w:jc w:val="left"/>
        <w:rPr>
          <w:rFonts w:ascii="Arial" w:hAnsi="Arial" w:cs="Arial"/>
          <w:color w:val="005BA6"/>
          <w:sz w:val="20"/>
          <w:szCs w:val="20"/>
        </w:rPr>
      </w:pPr>
      <w:r w:rsidRPr="006C53B7">
        <w:rPr>
          <w:rFonts w:ascii="Arial" w:hAnsi="Arial" w:cs="Arial"/>
          <w:color w:val="005BA6"/>
          <w:sz w:val="20"/>
          <w:szCs w:val="20"/>
        </w:rPr>
        <w:t>Aplicación</w:t>
      </w:r>
    </w:p>
    <w:p w14:paraId="2244F8A0" w14:textId="77777777" w:rsidR="009B0B40" w:rsidRDefault="009B0B40" w:rsidP="003625A7">
      <w:pPr>
        <w:pStyle w:val="Ttulo1"/>
        <w:spacing w:before="200" w:line="276" w:lineRule="auto"/>
        <w:ind w:firstLine="0"/>
        <w:rPr>
          <w:rFonts w:ascii="Arial" w:hAnsi="Arial" w:cs="Arial"/>
          <w:b w:val="0"/>
          <w:sz w:val="20"/>
          <w:szCs w:val="20"/>
        </w:rPr>
      </w:pPr>
      <w:r w:rsidRPr="006C53B7">
        <w:rPr>
          <w:rFonts w:ascii="Arial" w:hAnsi="Arial" w:cs="Arial"/>
          <w:b w:val="0"/>
          <w:sz w:val="20"/>
          <w:szCs w:val="20"/>
        </w:rPr>
        <w:t>A Resultados</w:t>
      </w:r>
      <w:r w:rsidR="00667C87" w:rsidRPr="006C53B7">
        <w:rPr>
          <w:rFonts w:ascii="Arial" w:hAnsi="Arial" w:cs="Arial"/>
          <w:b w:val="0"/>
          <w:sz w:val="20"/>
          <w:szCs w:val="20"/>
        </w:rPr>
        <w:t xml:space="preserve"> negativos</w:t>
      </w:r>
      <w:r w:rsidRPr="006C53B7">
        <w:rPr>
          <w:rFonts w:ascii="Arial" w:hAnsi="Arial" w:cs="Arial"/>
          <w:b w:val="0"/>
          <w:sz w:val="20"/>
          <w:szCs w:val="20"/>
        </w:rPr>
        <w:t xml:space="preserve"> de ejercicios anteriores………………...</w:t>
      </w:r>
      <w:r w:rsidR="00667C87" w:rsidRPr="006C53B7">
        <w:rPr>
          <w:rFonts w:ascii="Arial" w:hAnsi="Arial" w:cs="Arial"/>
          <w:b w:val="0"/>
          <w:sz w:val="20"/>
          <w:szCs w:val="20"/>
        </w:rPr>
        <w:t>…………………</w:t>
      </w:r>
      <w:r w:rsidR="00705E2F" w:rsidRPr="006C53B7">
        <w:rPr>
          <w:rFonts w:ascii="Arial" w:hAnsi="Arial" w:cs="Arial"/>
          <w:b w:val="0"/>
          <w:sz w:val="20"/>
          <w:szCs w:val="20"/>
        </w:rPr>
        <w:t>.</w:t>
      </w:r>
      <w:r w:rsidR="003625A7">
        <w:rPr>
          <w:rFonts w:ascii="Arial" w:hAnsi="Arial" w:cs="Arial"/>
          <w:b w:val="0"/>
          <w:sz w:val="20"/>
          <w:szCs w:val="20"/>
        </w:rPr>
        <w:t xml:space="preserve">    </w:t>
      </w:r>
      <w:r w:rsidR="00A7664B">
        <w:rPr>
          <w:rFonts w:ascii="Arial" w:hAnsi="Arial" w:cs="Arial"/>
          <w:b w:val="0"/>
          <w:sz w:val="20"/>
          <w:szCs w:val="20"/>
        </w:rPr>
        <w:t>-171.215,01</w:t>
      </w:r>
      <w:r w:rsidRPr="006C53B7">
        <w:rPr>
          <w:rFonts w:ascii="Arial" w:hAnsi="Arial" w:cs="Arial"/>
          <w:b w:val="0"/>
          <w:sz w:val="20"/>
          <w:szCs w:val="20"/>
        </w:rPr>
        <w:t>€</w:t>
      </w:r>
    </w:p>
    <w:p w14:paraId="4B02E36C" w14:textId="77777777" w:rsidR="009B0B40" w:rsidRPr="0013770B" w:rsidRDefault="009B0B40" w:rsidP="001E1C0D">
      <w:pPr>
        <w:pStyle w:val="Ttulo1"/>
        <w:spacing w:before="200" w:line="276" w:lineRule="auto"/>
        <w:rPr>
          <w:rFonts w:ascii="EurostileT" w:hAnsi="EurostileT"/>
          <w:color w:val="005BA6"/>
          <w:sz w:val="28"/>
          <w:szCs w:val="28"/>
        </w:rPr>
      </w:pPr>
      <w:bookmarkStart w:id="6" w:name="_Toc350855613"/>
      <w:r w:rsidRPr="0013770B">
        <w:rPr>
          <w:rFonts w:ascii="EurostileT" w:hAnsi="EurostileT"/>
          <w:color w:val="005BA6"/>
          <w:sz w:val="28"/>
          <w:szCs w:val="28"/>
        </w:rPr>
        <w:t>4. NORMAS DE REGISTRO Y VALORACIÓN</w:t>
      </w:r>
      <w:bookmarkEnd w:id="6"/>
    </w:p>
    <w:p w14:paraId="48DB8325" w14:textId="77777777" w:rsidR="009B0B40" w:rsidRPr="003D7A98" w:rsidRDefault="009B0B40" w:rsidP="001E1C0D">
      <w:pPr>
        <w:spacing w:before="200" w:line="276" w:lineRule="auto"/>
        <w:jc w:val="both"/>
        <w:rPr>
          <w:rFonts w:ascii="Arial" w:hAnsi="Arial" w:cs="Arial"/>
        </w:rPr>
      </w:pPr>
      <w:r w:rsidRPr="003D7A98">
        <w:rPr>
          <w:rFonts w:ascii="Arial" w:hAnsi="Arial" w:cs="Arial"/>
        </w:rPr>
        <w:t>Las normas de valoración aplicadas son con carácter general las recogidas en la normativa contable vigente, entre las que conviene resaltar las relativas a las siguientes partidas:</w:t>
      </w:r>
    </w:p>
    <w:p w14:paraId="28430546" w14:textId="77777777" w:rsidR="009B0B40" w:rsidRDefault="009B0B40" w:rsidP="001E1C0D">
      <w:pPr>
        <w:pStyle w:val="Ttulo2"/>
        <w:spacing w:before="200" w:line="276" w:lineRule="auto"/>
      </w:pPr>
      <w:r>
        <w:t>4.1</w:t>
      </w:r>
      <w:r w:rsidRPr="005A20FC">
        <w:t>.</w:t>
      </w:r>
      <w:r>
        <w:tab/>
      </w:r>
      <w:r w:rsidRPr="005A20FC">
        <w:t>Inmovilizado intangible</w:t>
      </w:r>
      <w:r>
        <w:t xml:space="preserve">  </w:t>
      </w:r>
    </w:p>
    <w:p w14:paraId="2E2E184F" w14:textId="77777777" w:rsidR="009B0B40" w:rsidRDefault="009B0B40" w:rsidP="001E1C0D">
      <w:pPr>
        <w:spacing w:before="200" w:line="276" w:lineRule="auto"/>
        <w:jc w:val="both"/>
        <w:rPr>
          <w:rFonts w:ascii="Arial" w:hAnsi="Arial" w:cs="Arial"/>
        </w:rPr>
      </w:pPr>
      <w:r w:rsidRPr="00806D3A">
        <w:rPr>
          <w:rFonts w:ascii="Arial" w:hAnsi="Arial" w:cs="Arial"/>
        </w:rPr>
        <w:t xml:space="preserve">El inmovilizado intangible se valora inicialmente por su coste, ya sea éste el precio de adquisición o el de coste de producción. </w:t>
      </w:r>
    </w:p>
    <w:p w14:paraId="39676C49" w14:textId="77777777" w:rsidR="009B0B40" w:rsidRDefault="009B0B40" w:rsidP="001E1C0D">
      <w:pPr>
        <w:spacing w:before="200" w:line="276" w:lineRule="auto"/>
        <w:jc w:val="both"/>
        <w:rPr>
          <w:rFonts w:ascii="Arial" w:hAnsi="Arial" w:cs="Arial"/>
        </w:rPr>
      </w:pPr>
      <w:r w:rsidRPr="00806D3A">
        <w:rPr>
          <w:rFonts w:ascii="Arial" w:hAnsi="Arial" w:cs="Arial"/>
        </w:rPr>
        <w:t>Después del reconocimiento inicial, el inmovilizado intangible se valora por su coste, menos la amortización acumulada y, en su caso, el importe acumulado de las correcciones por deterioro registradas.</w:t>
      </w:r>
    </w:p>
    <w:p w14:paraId="4FB20156" w14:textId="77777777" w:rsidR="008A620B" w:rsidRDefault="009B0B40" w:rsidP="001E1C0D">
      <w:pPr>
        <w:spacing w:before="200" w:line="276" w:lineRule="auto"/>
        <w:jc w:val="both"/>
        <w:rPr>
          <w:rFonts w:ascii="Arial" w:hAnsi="Arial" w:cs="Arial"/>
        </w:rPr>
      </w:pPr>
      <w:r w:rsidRPr="00806D3A">
        <w:rPr>
          <w:rFonts w:ascii="Arial" w:hAnsi="Arial" w:cs="Arial"/>
        </w:rPr>
        <w:t>Los activos intangibles se amortizan sistemáticamente en función de la vida útil estimada de los bienes y de su valor residual. Los métodos y periodos de amortización aplicados son revisados en cada cierre del ejercicio, se evalúa la existencia de indicios de deterioro, en cuyo caso se estiman los importes recuperables, efectuándose las correcciones valorativas que procedan.</w:t>
      </w:r>
    </w:p>
    <w:p w14:paraId="7AEA31C1" w14:textId="77777777" w:rsidR="009B0B40" w:rsidRPr="00806D3A" w:rsidRDefault="009B0B40" w:rsidP="001E1C0D">
      <w:pPr>
        <w:spacing w:before="200" w:line="276" w:lineRule="auto"/>
        <w:jc w:val="both"/>
        <w:rPr>
          <w:rFonts w:ascii="Arial" w:hAnsi="Arial" w:cs="Arial"/>
        </w:rPr>
      </w:pPr>
      <w:r w:rsidRPr="00806D3A">
        <w:rPr>
          <w:rFonts w:ascii="Arial" w:hAnsi="Arial" w:cs="Arial"/>
        </w:rPr>
        <w:t>Los elementos comprendidos dentro de este epígrafe son aplicaciones informáticas y se encuentran valorados por su precio de adquisición.</w:t>
      </w:r>
    </w:p>
    <w:p w14:paraId="0583C070" w14:textId="77777777" w:rsidR="009B0B40" w:rsidRPr="00806D3A" w:rsidRDefault="009B0B40" w:rsidP="001E1C0D">
      <w:pPr>
        <w:spacing w:before="200" w:line="276" w:lineRule="auto"/>
        <w:jc w:val="both"/>
        <w:rPr>
          <w:rFonts w:ascii="Arial" w:hAnsi="Arial" w:cs="Arial"/>
        </w:rPr>
      </w:pPr>
      <w:r w:rsidRPr="00806D3A">
        <w:rPr>
          <w:rFonts w:ascii="Arial" w:hAnsi="Arial" w:cs="Arial"/>
        </w:rPr>
        <w:t>La amortización se realiza de forma lineal, mediante coeficientes constantes, prorrateando en función de la fecha de entrada en servicio para los elementos adquiridos durante el ejercicio.</w:t>
      </w:r>
    </w:p>
    <w:p w14:paraId="2A7A3DF7" w14:textId="77777777" w:rsidR="009B0B40" w:rsidRDefault="009B0B40" w:rsidP="001E1C0D">
      <w:pPr>
        <w:spacing w:before="200" w:line="276" w:lineRule="auto"/>
        <w:jc w:val="both"/>
        <w:rPr>
          <w:rFonts w:ascii="Arial" w:hAnsi="Arial" w:cs="Arial"/>
        </w:rPr>
      </w:pPr>
      <w:r w:rsidRPr="00806D3A">
        <w:rPr>
          <w:rFonts w:ascii="Arial" w:hAnsi="Arial" w:cs="Arial"/>
        </w:rPr>
        <w:t>Los coeficientes aplicados durante el ejercicio son los siguientes:</w:t>
      </w:r>
    </w:p>
    <w:p w14:paraId="2EA7E5D4" w14:textId="77777777" w:rsidR="00406F5A" w:rsidRDefault="00406F5A" w:rsidP="00406F5A">
      <w:pPr>
        <w:spacing w:line="276" w:lineRule="auto"/>
        <w:jc w:val="both"/>
        <w:rPr>
          <w:rFonts w:ascii="Arial" w:hAnsi="Arial" w:cs="Arial"/>
        </w:rPr>
      </w:pPr>
    </w:p>
    <w:tbl>
      <w:tblPr>
        <w:tblW w:w="0" w:type="auto"/>
        <w:jc w:val="center"/>
        <w:tblBorders>
          <w:top w:val="single" w:sz="4" w:space="0" w:color="005BA6"/>
          <w:left w:val="single" w:sz="4" w:space="0" w:color="005BA6"/>
          <w:bottom w:val="single" w:sz="4" w:space="0" w:color="005BA6"/>
          <w:right w:val="single" w:sz="4" w:space="0" w:color="005BA6"/>
          <w:insideH w:val="single" w:sz="4" w:space="0" w:color="005BA6"/>
          <w:insideV w:val="single" w:sz="4" w:space="0" w:color="005BA6"/>
        </w:tblBorders>
        <w:tblLayout w:type="fixed"/>
        <w:tblCellMar>
          <w:left w:w="70" w:type="dxa"/>
          <w:right w:w="70" w:type="dxa"/>
        </w:tblCellMar>
        <w:tblLook w:val="0000" w:firstRow="0" w:lastRow="0" w:firstColumn="0" w:lastColumn="0" w:noHBand="0" w:noVBand="0"/>
      </w:tblPr>
      <w:tblGrid>
        <w:gridCol w:w="2835"/>
        <w:gridCol w:w="1134"/>
      </w:tblGrid>
      <w:tr w:rsidR="009B0B40" w:rsidRPr="005A20FC" w14:paraId="25A883D8" w14:textId="77777777" w:rsidTr="004F1E37">
        <w:trPr>
          <w:cantSplit/>
          <w:jc w:val="center"/>
        </w:trPr>
        <w:tc>
          <w:tcPr>
            <w:tcW w:w="2835" w:type="dxa"/>
          </w:tcPr>
          <w:p w14:paraId="7A28B939" w14:textId="77777777" w:rsidR="009B0B40" w:rsidRPr="00806D3A" w:rsidRDefault="0019396D" w:rsidP="001E1C0D">
            <w:pPr>
              <w:tabs>
                <w:tab w:val="left" w:pos="720"/>
                <w:tab w:val="center" w:pos="4320"/>
              </w:tabs>
              <w:spacing w:before="200" w:line="276" w:lineRule="auto"/>
              <w:jc w:val="center"/>
              <w:rPr>
                <w:rFonts w:ascii="Arial" w:hAnsi="Arial" w:cs="Arial"/>
              </w:rPr>
            </w:pPr>
            <w:r>
              <w:rPr>
                <w:rFonts w:ascii="Arial" w:hAnsi="Arial" w:cs="Arial"/>
              </w:rPr>
              <w:t>Aplicaciones Informáticas</w:t>
            </w:r>
          </w:p>
        </w:tc>
        <w:tc>
          <w:tcPr>
            <w:tcW w:w="1134" w:type="dxa"/>
          </w:tcPr>
          <w:p w14:paraId="0756BD4A" w14:textId="77777777" w:rsidR="009B0B40" w:rsidRPr="00806D3A" w:rsidRDefault="009B0B40" w:rsidP="001E1C0D">
            <w:pPr>
              <w:tabs>
                <w:tab w:val="left" w:pos="720"/>
                <w:tab w:val="center" w:pos="4320"/>
              </w:tabs>
              <w:spacing w:before="200" w:line="276" w:lineRule="auto"/>
              <w:jc w:val="center"/>
              <w:rPr>
                <w:rFonts w:ascii="Arial" w:hAnsi="Arial" w:cs="Arial"/>
              </w:rPr>
            </w:pPr>
            <w:r w:rsidRPr="00806D3A">
              <w:rPr>
                <w:rFonts w:ascii="Arial" w:hAnsi="Arial" w:cs="Arial"/>
              </w:rPr>
              <w:t>20% - 25%</w:t>
            </w:r>
          </w:p>
        </w:tc>
      </w:tr>
    </w:tbl>
    <w:p w14:paraId="4CD6C5A4" w14:textId="77777777" w:rsidR="009B0B40" w:rsidRPr="00BC6D67" w:rsidRDefault="009B0B40" w:rsidP="001E1C0D">
      <w:pPr>
        <w:spacing w:before="200" w:line="276" w:lineRule="auto"/>
        <w:jc w:val="both"/>
        <w:rPr>
          <w:rFonts w:ascii="Arial" w:hAnsi="Arial" w:cs="Arial"/>
        </w:rPr>
      </w:pPr>
      <w:r w:rsidRPr="00BC6D67">
        <w:rPr>
          <w:rFonts w:ascii="Arial" w:hAnsi="Arial" w:cs="Arial"/>
        </w:rPr>
        <w:t>Las reparaciones que no representan una ampliación de la vida útil y los costes de mantenimiento son cargados en la cuenta de pérdidas y ganancias en el ejercicio en que se producen.</w:t>
      </w:r>
    </w:p>
    <w:p w14:paraId="66690C0D" w14:textId="77777777" w:rsidR="009B0B40" w:rsidRPr="005A20FC" w:rsidRDefault="009B0B40" w:rsidP="001E1C0D">
      <w:pPr>
        <w:pStyle w:val="Ttulo2"/>
        <w:spacing w:before="200" w:line="276" w:lineRule="auto"/>
      </w:pPr>
      <w:r>
        <w:t>4.2</w:t>
      </w:r>
      <w:r w:rsidRPr="005A20FC">
        <w:t xml:space="preserve">. </w:t>
      </w:r>
      <w:r>
        <w:tab/>
      </w:r>
      <w:r w:rsidRPr="005A20FC">
        <w:t>Inmovilizado material</w:t>
      </w:r>
    </w:p>
    <w:p w14:paraId="67004901" w14:textId="77777777" w:rsidR="009B0B40" w:rsidRDefault="009B0B40" w:rsidP="001E1C0D">
      <w:pPr>
        <w:spacing w:before="200" w:line="276" w:lineRule="auto"/>
        <w:jc w:val="both"/>
        <w:rPr>
          <w:rFonts w:ascii="Arial" w:hAnsi="Arial" w:cs="Arial"/>
        </w:rPr>
      </w:pPr>
      <w:r w:rsidRPr="00F3329E">
        <w:rPr>
          <w:rFonts w:ascii="Arial" w:hAnsi="Arial" w:cs="Arial"/>
        </w:rPr>
        <w:t>El inmovilizado material se valora inicialmente por su precio de adquisición.</w:t>
      </w:r>
    </w:p>
    <w:p w14:paraId="10FD95FD" w14:textId="77777777" w:rsidR="009B0B40" w:rsidRDefault="009B0B40" w:rsidP="001E1C0D">
      <w:pPr>
        <w:spacing w:before="200" w:line="276" w:lineRule="auto"/>
        <w:jc w:val="both"/>
        <w:rPr>
          <w:rFonts w:ascii="Arial" w:hAnsi="Arial" w:cs="Arial"/>
        </w:rPr>
      </w:pPr>
      <w:r w:rsidRPr="00F3329E">
        <w:rPr>
          <w:rFonts w:ascii="Arial" w:hAnsi="Arial" w:cs="Arial"/>
        </w:rPr>
        <w:t>Después del reconocimiento inicial, el inmovilizado material se valora por su coste, menos la amortización acumulada y, en su caso, el importe de las correcciones por deterioro registradas.</w:t>
      </w:r>
    </w:p>
    <w:p w14:paraId="6B6FD097" w14:textId="77777777" w:rsidR="009B0B40" w:rsidRDefault="009B0B40" w:rsidP="001E1C0D">
      <w:pPr>
        <w:spacing w:before="200" w:line="276" w:lineRule="auto"/>
        <w:jc w:val="both"/>
        <w:rPr>
          <w:rFonts w:ascii="Arial" w:hAnsi="Arial" w:cs="Arial"/>
        </w:rPr>
      </w:pPr>
      <w:r w:rsidRPr="00F3329E">
        <w:rPr>
          <w:rFonts w:ascii="Arial" w:hAnsi="Arial" w:cs="Arial"/>
        </w:rPr>
        <w:t xml:space="preserve">Las reparaciones que no representan una ampliación de la vida útil y los costes de mantenimiento son cargados en la cuenta de pérdidas y ganancias en el ejercicio en que se producen. </w:t>
      </w:r>
    </w:p>
    <w:p w14:paraId="3BA22E36" w14:textId="77777777" w:rsidR="009B0B40" w:rsidRPr="00F3329E" w:rsidRDefault="009B0B40" w:rsidP="001E1C0D">
      <w:pPr>
        <w:spacing w:before="200" w:line="276" w:lineRule="auto"/>
        <w:jc w:val="both"/>
        <w:rPr>
          <w:rFonts w:ascii="Arial" w:hAnsi="Arial" w:cs="Arial"/>
        </w:rPr>
      </w:pPr>
      <w:r w:rsidRPr="00F3329E">
        <w:rPr>
          <w:rFonts w:ascii="Arial" w:hAnsi="Arial" w:cs="Arial"/>
        </w:rPr>
        <w:t>La amortización se realiza de forma lineal mediante coeficientes constantes para cada tipo de elemento, prorrateando, en su caso, según la fecha de entrada en servicio para los elementos adquiridos durante el ejercicio.</w:t>
      </w:r>
    </w:p>
    <w:p w14:paraId="57D3A31C" w14:textId="77777777" w:rsidR="009B0B40" w:rsidRPr="00F3329E" w:rsidRDefault="009B0B40" w:rsidP="001E1C0D">
      <w:pPr>
        <w:spacing w:before="200" w:line="276" w:lineRule="auto"/>
        <w:jc w:val="both"/>
        <w:rPr>
          <w:rFonts w:ascii="Arial" w:hAnsi="Arial" w:cs="Arial"/>
        </w:rPr>
      </w:pPr>
      <w:r w:rsidRPr="00F3329E">
        <w:rPr>
          <w:rFonts w:ascii="Arial" w:hAnsi="Arial" w:cs="Arial"/>
        </w:rPr>
        <w:t>Los coeficientes aplicados son los siguientes:</w:t>
      </w:r>
    </w:p>
    <w:p w14:paraId="6D254CAD" w14:textId="77777777" w:rsidR="009B0B40" w:rsidRPr="00F3329E" w:rsidRDefault="009B0B40" w:rsidP="00406F5A">
      <w:pPr>
        <w:spacing w:line="276" w:lineRule="auto"/>
        <w:ind w:firstLine="567"/>
        <w:jc w:val="both"/>
        <w:rPr>
          <w:rFonts w:ascii="Arial" w:hAnsi="Arial" w:cs="Arial"/>
        </w:rPr>
      </w:pPr>
    </w:p>
    <w:tbl>
      <w:tblPr>
        <w:tblW w:w="0" w:type="auto"/>
        <w:jc w:val="center"/>
        <w:tblBorders>
          <w:top w:val="single" w:sz="4" w:space="0" w:color="005BA6"/>
          <w:left w:val="single" w:sz="4" w:space="0" w:color="005BA6"/>
          <w:bottom w:val="single" w:sz="4" w:space="0" w:color="005BA6"/>
          <w:right w:val="single" w:sz="4" w:space="0" w:color="005BA6"/>
          <w:insideH w:val="single" w:sz="4" w:space="0" w:color="005BA6"/>
          <w:insideV w:val="single" w:sz="4" w:space="0" w:color="005BA6"/>
        </w:tblBorders>
        <w:tblCellMar>
          <w:left w:w="70" w:type="dxa"/>
          <w:right w:w="70" w:type="dxa"/>
        </w:tblCellMar>
        <w:tblLook w:val="0000" w:firstRow="0" w:lastRow="0" w:firstColumn="0" w:lastColumn="0" w:noHBand="0" w:noVBand="0"/>
      </w:tblPr>
      <w:tblGrid>
        <w:gridCol w:w="3554"/>
        <w:gridCol w:w="1119"/>
      </w:tblGrid>
      <w:tr w:rsidR="009B0B40" w:rsidRPr="00F3329E" w14:paraId="1D322CB0" w14:textId="77777777" w:rsidTr="004F1E37">
        <w:trPr>
          <w:cantSplit/>
          <w:jc w:val="center"/>
        </w:trPr>
        <w:tc>
          <w:tcPr>
            <w:tcW w:w="0" w:type="auto"/>
            <w:vAlign w:val="bottom"/>
          </w:tcPr>
          <w:p w14:paraId="4AFB6B14"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Construcciones</w:t>
            </w:r>
          </w:p>
        </w:tc>
        <w:tc>
          <w:tcPr>
            <w:tcW w:w="0" w:type="auto"/>
            <w:vAlign w:val="bottom"/>
          </w:tcPr>
          <w:p w14:paraId="2A47BD34"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 xml:space="preserve">4% - 5% </w:t>
            </w:r>
          </w:p>
        </w:tc>
      </w:tr>
      <w:tr w:rsidR="009B0B40" w:rsidRPr="00F3329E" w14:paraId="5B8DAED5" w14:textId="77777777" w:rsidTr="004F1E37">
        <w:trPr>
          <w:cantSplit/>
          <w:jc w:val="center"/>
        </w:trPr>
        <w:tc>
          <w:tcPr>
            <w:tcW w:w="0" w:type="auto"/>
            <w:vAlign w:val="bottom"/>
          </w:tcPr>
          <w:p w14:paraId="28E929A4"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Maquinaria</w:t>
            </w:r>
          </w:p>
        </w:tc>
        <w:tc>
          <w:tcPr>
            <w:tcW w:w="0" w:type="auto"/>
            <w:vAlign w:val="bottom"/>
          </w:tcPr>
          <w:p w14:paraId="13EF39EB" w14:textId="77777777" w:rsidR="009B0B40" w:rsidRPr="00F3329E" w:rsidRDefault="009B0B40" w:rsidP="00AB7C5B">
            <w:pPr>
              <w:tabs>
                <w:tab w:val="left" w:pos="720"/>
                <w:tab w:val="center" w:pos="4320"/>
              </w:tabs>
              <w:spacing w:before="120"/>
              <w:rPr>
                <w:rFonts w:ascii="Arial" w:hAnsi="Arial" w:cs="Arial"/>
              </w:rPr>
            </w:pPr>
            <w:r w:rsidRPr="00F3329E">
              <w:rPr>
                <w:rFonts w:ascii="Arial" w:hAnsi="Arial" w:cs="Arial"/>
              </w:rPr>
              <w:t>15%</w:t>
            </w:r>
          </w:p>
        </w:tc>
      </w:tr>
      <w:tr w:rsidR="009B0B40" w:rsidRPr="00F3329E" w14:paraId="444C8B64" w14:textId="77777777" w:rsidTr="004F1E37">
        <w:trPr>
          <w:cantSplit/>
          <w:jc w:val="center"/>
        </w:trPr>
        <w:tc>
          <w:tcPr>
            <w:tcW w:w="0" w:type="auto"/>
            <w:vAlign w:val="bottom"/>
          </w:tcPr>
          <w:p w14:paraId="6578FFA3"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Utillaje</w:t>
            </w:r>
          </w:p>
        </w:tc>
        <w:tc>
          <w:tcPr>
            <w:tcW w:w="0" w:type="auto"/>
            <w:vAlign w:val="bottom"/>
          </w:tcPr>
          <w:p w14:paraId="6DF3FD62"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 xml:space="preserve"> 30%</w:t>
            </w:r>
          </w:p>
        </w:tc>
      </w:tr>
      <w:tr w:rsidR="009B0B40" w:rsidRPr="00F3329E" w14:paraId="4E7B1354" w14:textId="77777777" w:rsidTr="004F1E37">
        <w:trPr>
          <w:cantSplit/>
          <w:jc w:val="center"/>
        </w:trPr>
        <w:tc>
          <w:tcPr>
            <w:tcW w:w="0" w:type="auto"/>
            <w:vAlign w:val="bottom"/>
          </w:tcPr>
          <w:p w14:paraId="478C5FA8"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Otras Instalaciones</w:t>
            </w:r>
          </w:p>
        </w:tc>
        <w:tc>
          <w:tcPr>
            <w:tcW w:w="0" w:type="auto"/>
            <w:vAlign w:val="bottom"/>
          </w:tcPr>
          <w:p w14:paraId="6F3E922F" w14:textId="77777777" w:rsidR="009B0B40" w:rsidRPr="00F3329E" w:rsidRDefault="009B0B40" w:rsidP="00AB7C5B">
            <w:pPr>
              <w:tabs>
                <w:tab w:val="left" w:pos="720"/>
                <w:tab w:val="center" w:pos="4320"/>
              </w:tabs>
              <w:spacing w:before="120"/>
              <w:rPr>
                <w:rFonts w:ascii="Arial" w:hAnsi="Arial" w:cs="Arial"/>
              </w:rPr>
            </w:pPr>
            <w:r w:rsidRPr="00F3329E">
              <w:rPr>
                <w:rFonts w:ascii="Arial" w:hAnsi="Arial" w:cs="Arial"/>
              </w:rPr>
              <w:t>15%</w:t>
            </w:r>
            <w:r>
              <w:rPr>
                <w:rFonts w:ascii="Arial" w:hAnsi="Arial" w:cs="Arial"/>
              </w:rPr>
              <w:t xml:space="preserve"> - 25%</w:t>
            </w:r>
          </w:p>
        </w:tc>
      </w:tr>
      <w:tr w:rsidR="009B0B40" w:rsidRPr="00F3329E" w14:paraId="7D3F629A" w14:textId="77777777" w:rsidTr="004F1E37">
        <w:trPr>
          <w:cantSplit/>
          <w:jc w:val="center"/>
        </w:trPr>
        <w:tc>
          <w:tcPr>
            <w:tcW w:w="0" w:type="auto"/>
            <w:vAlign w:val="bottom"/>
          </w:tcPr>
          <w:p w14:paraId="62A159E7"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Mobiliario</w:t>
            </w:r>
          </w:p>
        </w:tc>
        <w:tc>
          <w:tcPr>
            <w:tcW w:w="0" w:type="auto"/>
            <w:vAlign w:val="bottom"/>
          </w:tcPr>
          <w:p w14:paraId="6302CB55"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 xml:space="preserve">15% </w:t>
            </w:r>
          </w:p>
        </w:tc>
      </w:tr>
      <w:tr w:rsidR="009B0B40" w:rsidRPr="00F3329E" w14:paraId="41554AD0" w14:textId="77777777" w:rsidTr="004F1E37">
        <w:trPr>
          <w:cantSplit/>
          <w:jc w:val="center"/>
        </w:trPr>
        <w:tc>
          <w:tcPr>
            <w:tcW w:w="0" w:type="auto"/>
            <w:vAlign w:val="bottom"/>
          </w:tcPr>
          <w:p w14:paraId="03B6AF47" w14:textId="77777777" w:rsidR="009B0B40" w:rsidRPr="00F3329E" w:rsidRDefault="009B0B40" w:rsidP="00AB7C5B">
            <w:pPr>
              <w:tabs>
                <w:tab w:val="left" w:pos="720"/>
                <w:tab w:val="center" w:pos="4320"/>
              </w:tabs>
              <w:spacing w:before="120"/>
              <w:rPr>
                <w:rFonts w:ascii="Arial" w:hAnsi="Arial" w:cs="Arial"/>
              </w:rPr>
            </w:pPr>
            <w:r w:rsidRPr="00F3329E">
              <w:rPr>
                <w:rFonts w:ascii="Arial" w:hAnsi="Arial" w:cs="Arial"/>
              </w:rPr>
              <w:t>Equipos para procesos de información</w:t>
            </w:r>
          </w:p>
        </w:tc>
        <w:tc>
          <w:tcPr>
            <w:tcW w:w="0" w:type="auto"/>
            <w:vAlign w:val="bottom"/>
          </w:tcPr>
          <w:p w14:paraId="126ED7B1"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 xml:space="preserve"> 25 %</w:t>
            </w:r>
          </w:p>
        </w:tc>
      </w:tr>
      <w:tr w:rsidR="009B0B40" w:rsidRPr="00F3329E" w14:paraId="4472B085" w14:textId="77777777" w:rsidTr="004F1E37">
        <w:trPr>
          <w:cantSplit/>
          <w:jc w:val="center"/>
        </w:trPr>
        <w:tc>
          <w:tcPr>
            <w:tcW w:w="0" w:type="auto"/>
            <w:vAlign w:val="bottom"/>
          </w:tcPr>
          <w:p w14:paraId="0023D92B"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Elementos de transporte</w:t>
            </w:r>
          </w:p>
        </w:tc>
        <w:tc>
          <w:tcPr>
            <w:tcW w:w="0" w:type="auto"/>
            <w:vAlign w:val="bottom"/>
          </w:tcPr>
          <w:p w14:paraId="7A4F04A9"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20</w:t>
            </w:r>
            <w:r w:rsidRPr="00F3329E">
              <w:rPr>
                <w:rFonts w:ascii="Arial" w:hAnsi="Arial" w:cs="Arial"/>
              </w:rPr>
              <w:t>%</w:t>
            </w:r>
          </w:p>
        </w:tc>
      </w:tr>
      <w:tr w:rsidR="009B0B40" w:rsidRPr="00F3329E" w14:paraId="32BB002F" w14:textId="77777777" w:rsidTr="004F1E37">
        <w:trPr>
          <w:cantSplit/>
          <w:jc w:val="center"/>
        </w:trPr>
        <w:tc>
          <w:tcPr>
            <w:tcW w:w="0" w:type="auto"/>
            <w:vAlign w:val="bottom"/>
          </w:tcPr>
          <w:p w14:paraId="7EEAC08B"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Otro inmovilizado material</w:t>
            </w:r>
          </w:p>
        </w:tc>
        <w:tc>
          <w:tcPr>
            <w:tcW w:w="0" w:type="auto"/>
            <w:vAlign w:val="bottom"/>
          </w:tcPr>
          <w:p w14:paraId="0EE999B9" w14:textId="77777777" w:rsidR="009B0B40" w:rsidRPr="00F3329E" w:rsidRDefault="009B0B40" w:rsidP="00AB7C5B">
            <w:pPr>
              <w:tabs>
                <w:tab w:val="left" w:pos="720"/>
                <w:tab w:val="center" w:pos="4320"/>
              </w:tabs>
              <w:spacing w:before="120"/>
              <w:rPr>
                <w:rFonts w:ascii="Arial" w:hAnsi="Arial" w:cs="Arial"/>
              </w:rPr>
            </w:pPr>
            <w:r>
              <w:rPr>
                <w:rFonts w:ascii="Arial" w:hAnsi="Arial" w:cs="Arial"/>
              </w:rPr>
              <w:t xml:space="preserve">15% - </w:t>
            </w:r>
            <w:r w:rsidRPr="00F3329E">
              <w:rPr>
                <w:rFonts w:ascii="Arial" w:hAnsi="Arial" w:cs="Arial"/>
              </w:rPr>
              <w:t>25%</w:t>
            </w:r>
          </w:p>
        </w:tc>
      </w:tr>
    </w:tbl>
    <w:p w14:paraId="4B02EAD5" w14:textId="77777777" w:rsidR="009B0B40" w:rsidRPr="00A82E0F" w:rsidRDefault="009B0B40" w:rsidP="001E1C0D">
      <w:pPr>
        <w:autoSpaceDE w:val="0"/>
        <w:autoSpaceDN w:val="0"/>
        <w:adjustRightInd w:val="0"/>
        <w:spacing w:before="200" w:line="276" w:lineRule="auto"/>
        <w:jc w:val="both"/>
        <w:rPr>
          <w:rFonts w:ascii="Arial" w:hAnsi="Arial" w:cs="Arial"/>
        </w:rPr>
      </w:pPr>
      <w:r w:rsidRPr="00A82E0F">
        <w:rPr>
          <w:rFonts w:ascii="Arial" w:hAnsi="Arial" w:cs="Arial"/>
        </w:rPr>
        <w:t xml:space="preserve">En cada cierre de ejercicio, la Sociedad revisa los valores residuales, las vidas útiles y los métodos de amortización del inmovilizado material y, si procede, se ajustan de forma prospectiva. </w:t>
      </w:r>
    </w:p>
    <w:p w14:paraId="49F7CC76" w14:textId="77777777" w:rsidR="009B0B40" w:rsidRPr="00401382" w:rsidRDefault="009B0B40" w:rsidP="001E1C0D">
      <w:pPr>
        <w:pStyle w:val="Ttulo2"/>
        <w:spacing w:before="200" w:line="276" w:lineRule="auto"/>
      </w:pPr>
      <w:r w:rsidRPr="00401382">
        <w:t>4.3. Deterioro del valor de los activos no financieros</w:t>
      </w:r>
    </w:p>
    <w:p w14:paraId="426BB7F7" w14:textId="77777777" w:rsidR="009B0B40" w:rsidRDefault="009B0B40" w:rsidP="001E1C0D">
      <w:pPr>
        <w:autoSpaceDE w:val="0"/>
        <w:autoSpaceDN w:val="0"/>
        <w:adjustRightInd w:val="0"/>
        <w:spacing w:before="200" w:line="276" w:lineRule="auto"/>
        <w:jc w:val="both"/>
        <w:rPr>
          <w:rFonts w:ascii="Arial" w:hAnsi="Arial" w:cs="Arial"/>
        </w:rPr>
      </w:pPr>
      <w:r w:rsidRPr="00401382">
        <w:rPr>
          <w:rFonts w:ascii="Arial" w:hAnsi="Arial" w:cs="Arial"/>
        </w:rPr>
        <w:t>Al menos al cierre del ejercicio, la Sociedad evalúa si existen indicios de que algún activo no corriente o, en su caso, alguna unidad generadora de efectivo pueda estar deteriorado. Si existen indicios se estiman sus importes recuperables.</w:t>
      </w:r>
    </w:p>
    <w:p w14:paraId="397D4431" w14:textId="77777777" w:rsidR="009B0B40" w:rsidRPr="00401382" w:rsidRDefault="009B0B40" w:rsidP="001E1C0D">
      <w:pPr>
        <w:autoSpaceDE w:val="0"/>
        <w:autoSpaceDN w:val="0"/>
        <w:adjustRightInd w:val="0"/>
        <w:spacing w:before="200" w:line="276" w:lineRule="auto"/>
        <w:jc w:val="both"/>
        <w:rPr>
          <w:rFonts w:ascii="Arial" w:hAnsi="Arial" w:cs="Arial"/>
        </w:rPr>
      </w:pPr>
      <w:r w:rsidRPr="00401382">
        <w:rPr>
          <w:rFonts w:ascii="Arial" w:hAnsi="Arial" w:cs="Arial"/>
        </w:rPr>
        <w:t>El importe recuperable es el mayor entre el valor razonable menos los costes de venta y el valor en uso. Cuando el valor contable es mayor que el importe recuperable se produce una pérdida por deterioro. El valor en uso es el valor actual de los flujos de efectivo futuros esperados, utilizando tipos de interés de mercado sin riesgo, ajustados por los riesgos específicos asociados al activo. Para aquellos activos que no generan flujos de efectivo, en buena medida, independientes de los derivados de otros activos o grupos de activos, el importe recuperable se determina para las unidades generadoras de efectivo a las que pertenecen dichos activos.</w:t>
      </w:r>
    </w:p>
    <w:p w14:paraId="15ADCDE4" w14:textId="77777777" w:rsidR="009B0B40" w:rsidRPr="00401382" w:rsidRDefault="009B0B40" w:rsidP="001E1C0D">
      <w:pPr>
        <w:autoSpaceDE w:val="0"/>
        <w:autoSpaceDN w:val="0"/>
        <w:adjustRightInd w:val="0"/>
        <w:spacing w:before="200" w:line="276" w:lineRule="auto"/>
        <w:jc w:val="both"/>
        <w:rPr>
          <w:rFonts w:ascii="Arial" w:hAnsi="Arial" w:cs="Arial"/>
        </w:rPr>
      </w:pPr>
      <w:r w:rsidRPr="00401382">
        <w:rPr>
          <w:rFonts w:ascii="Arial" w:hAnsi="Arial" w:cs="Arial"/>
        </w:rPr>
        <w:t>Las correcciones valorativas por deterioro y su reversión se contabilizan en la cuenta de pérdidas y ganancias. Las correcciones valorativas por deterioro se revierten cuando las circunstancias que las motivaron dejan de existir, excepto las correspondientes a los fondos de comercio. La reversión del deterioro tiene como límite el valor contable del activo que figuraría si no se hubiera reconocido previamente el correspondiente deterioro del valor.</w:t>
      </w:r>
    </w:p>
    <w:p w14:paraId="47C05F3F" w14:textId="77777777" w:rsidR="009B0B40" w:rsidRDefault="009B0B40" w:rsidP="001E1C0D">
      <w:pPr>
        <w:pStyle w:val="Ttulo2"/>
        <w:spacing w:before="200" w:line="276" w:lineRule="auto"/>
      </w:pPr>
      <w:r>
        <w:t>4.4</w:t>
      </w:r>
      <w:r w:rsidRPr="00580667">
        <w:t>.</w:t>
      </w:r>
      <w:r>
        <w:tab/>
      </w:r>
      <w:r w:rsidRPr="00580667">
        <w:t>Instrumentos Financieros</w:t>
      </w:r>
    </w:p>
    <w:p w14:paraId="3A12CF4D" w14:textId="77777777" w:rsidR="009B0B40" w:rsidRPr="000D5B06" w:rsidRDefault="009B0B40" w:rsidP="001E1C0D">
      <w:pPr>
        <w:pStyle w:val="Prrafodelista"/>
        <w:spacing w:before="200" w:line="276" w:lineRule="auto"/>
        <w:ind w:left="0"/>
        <w:jc w:val="both"/>
        <w:rPr>
          <w:rFonts w:ascii="Arial" w:hAnsi="Arial" w:cs="Arial"/>
        </w:rPr>
      </w:pPr>
      <w:r w:rsidRPr="000D5B06">
        <w:rPr>
          <w:rFonts w:ascii="Arial" w:hAnsi="Arial" w:cs="Arial"/>
        </w:rPr>
        <w:t>Clasificación y valoración de las diferentes categorías de activos y pasivos financieros.</w:t>
      </w:r>
    </w:p>
    <w:p w14:paraId="7EA78786" w14:textId="77777777" w:rsidR="009B0B40" w:rsidRPr="000D5B06" w:rsidRDefault="009B0B40" w:rsidP="001E1C0D">
      <w:pPr>
        <w:pStyle w:val="Prrafodelista"/>
        <w:spacing w:before="200" w:line="276" w:lineRule="auto"/>
        <w:ind w:left="0" w:firstLine="567"/>
        <w:jc w:val="both"/>
        <w:rPr>
          <w:rFonts w:ascii="Arial" w:hAnsi="Arial" w:cs="Arial"/>
        </w:rPr>
      </w:pPr>
    </w:p>
    <w:p w14:paraId="7C07159D" w14:textId="77777777" w:rsidR="009B0B40" w:rsidRPr="00C416E7" w:rsidRDefault="009B0B40" w:rsidP="001E1C0D">
      <w:pPr>
        <w:pStyle w:val="Prrafodelista"/>
        <w:spacing w:before="200" w:line="276" w:lineRule="auto"/>
        <w:ind w:left="0"/>
        <w:jc w:val="both"/>
        <w:rPr>
          <w:rFonts w:ascii="Arial" w:hAnsi="Arial" w:cs="Arial"/>
          <w:b/>
          <w:color w:val="005BA6"/>
          <w:sz w:val="24"/>
          <w:szCs w:val="24"/>
        </w:rPr>
      </w:pPr>
      <w:r w:rsidRPr="00C416E7">
        <w:rPr>
          <w:rFonts w:ascii="Arial" w:hAnsi="Arial" w:cs="Arial"/>
          <w:b/>
          <w:color w:val="005BA6"/>
          <w:sz w:val="24"/>
          <w:szCs w:val="24"/>
        </w:rPr>
        <w:t>4.</w:t>
      </w:r>
      <w:r>
        <w:rPr>
          <w:rFonts w:ascii="Arial" w:hAnsi="Arial" w:cs="Arial"/>
          <w:b/>
          <w:color w:val="005BA6"/>
          <w:sz w:val="24"/>
          <w:szCs w:val="24"/>
        </w:rPr>
        <w:t>4</w:t>
      </w:r>
      <w:r w:rsidRPr="00C416E7">
        <w:rPr>
          <w:rFonts w:ascii="Arial" w:hAnsi="Arial" w:cs="Arial"/>
          <w:b/>
          <w:color w:val="005BA6"/>
          <w:sz w:val="24"/>
          <w:szCs w:val="24"/>
        </w:rPr>
        <w:t>.1.- Activos Financieros</w:t>
      </w:r>
    </w:p>
    <w:p w14:paraId="36D524A4" w14:textId="77777777" w:rsidR="009B0B40" w:rsidRDefault="009B0B40" w:rsidP="001E1C0D">
      <w:pPr>
        <w:spacing w:before="200" w:line="276" w:lineRule="auto"/>
        <w:jc w:val="both"/>
        <w:rPr>
          <w:rFonts w:ascii="Arial" w:hAnsi="Arial" w:cs="Arial"/>
        </w:rPr>
      </w:pPr>
      <w:r w:rsidRPr="000D5B06">
        <w:rPr>
          <w:rFonts w:ascii="Arial" w:hAnsi="Arial" w:cs="Arial"/>
        </w:rPr>
        <w:t xml:space="preserve">La empresa clasifica sus activos financieros, a efectos de su valoración, en  las siguientes categorías: </w:t>
      </w:r>
    </w:p>
    <w:p w14:paraId="29EB841E" w14:textId="77777777" w:rsidR="009B0B40" w:rsidRPr="00623109" w:rsidRDefault="009B0B40" w:rsidP="00AB7C5B">
      <w:pPr>
        <w:pStyle w:val="Prrafodelista"/>
        <w:numPr>
          <w:ilvl w:val="0"/>
          <w:numId w:val="39"/>
        </w:numPr>
        <w:spacing w:before="200" w:line="276" w:lineRule="auto"/>
        <w:ind w:left="284" w:hanging="284"/>
        <w:jc w:val="both"/>
        <w:rPr>
          <w:rFonts w:ascii="Arial" w:hAnsi="Arial" w:cs="Arial"/>
        </w:rPr>
      </w:pPr>
      <w:r w:rsidRPr="000D5B06">
        <w:rPr>
          <w:rFonts w:ascii="Arial" w:hAnsi="Arial" w:cs="Arial"/>
        </w:rPr>
        <w:t>Préstamos y partidas a cobrar.</w:t>
      </w:r>
    </w:p>
    <w:p w14:paraId="4B3832E3" w14:textId="77777777" w:rsidR="009B0B40" w:rsidRDefault="009B0B40" w:rsidP="00AB7C5B">
      <w:pPr>
        <w:pStyle w:val="Prrafodelista"/>
        <w:numPr>
          <w:ilvl w:val="0"/>
          <w:numId w:val="39"/>
        </w:numPr>
        <w:spacing w:before="200" w:line="276" w:lineRule="auto"/>
        <w:ind w:left="284" w:hanging="284"/>
        <w:jc w:val="both"/>
        <w:rPr>
          <w:rFonts w:ascii="Arial" w:hAnsi="Arial" w:cs="Arial"/>
        </w:rPr>
      </w:pPr>
      <w:r w:rsidRPr="00623109">
        <w:rPr>
          <w:rFonts w:ascii="Arial" w:hAnsi="Arial" w:cs="Arial"/>
        </w:rPr>
        <w:t>Activos disponibles para la venta.</w:t>
      </w:r>
    </w:p>
    <w:p w14:paraId="46050CF3" w14:textId="77777777" w:rsidR="009B0B40" w:rsidRDefault="009B0B40" w:rsidP="00AB7C5B">
      <w:pPr>
        <w:pStyle w:val="Prrafodelista"/>
        <w:numPr>
          <w:ilvl w:val="0"/>
          <w:numId w:val="39"/>
        </w:numPr>
        <w:spacing w:before="200" w:line="276" w:lineRule="auto"/>
        <w:ind w:left="284" w:hanging="284"/>
        <w:jc w:val="both"/>
        <w:rPr>
          <w:rFonts w:ascii="Arial" w:hAnsi="Arial" w:cs="Arial"/>
        </w:rPr>
      </w:pPr>
      <w:r>
        <w:rPr>
          <w:rFonts w:ascii="Arial" w:hAnsi="Arial" w:cs="Arial"/>
        </w:rPr>
        <w:t>Inversiones en el patrimonio de empresas del grupo.</w:t>
      </w:r>
    </w:p>
    <w:p w14:paraId="4ACEA1FD" w14:textId="77777777" w:rsidR="00257068" w:rsidRDefault="00257068" w:rsidP="00AB7C5B">
      <w:pPr>
        <w:pStyle w:val="Prrafodelista"/>
        <w:numPr>
          <w:ilvl w:val="0"/>
          <w:numId w:val="39"/>
        </w:numPr>
        <w:spacing w:before="200" w:line="276" w:lineRule="auto"/>
        <w:ind w:left="284" w:hanging="284"/>
        <w:jc w:val="both"/>
        <w:rPr>
          <w:rFonts w:ascii="Arial" w:hAnsi="Arial" w:cs="Arial"/>
        </w:rPr>
      </w:pPr>
      <w:r>
        <w:rPr>
          <w:rFonts w:ascii="Arial" w:hAnsi="Arial" w:cs="Arial"/>
        </w:rPr>
        <w:t>Inversiones mantenidas hasta el vencimiento.</w:t>
      </w:r>
    </w:p>
    <w:p w14:paraId="74294D56" w14:textId="77777777" w:rsidR="00257068" w:rsidRPr="000D5B06" w:rsidRDefault="00257068" w:rsidP="00AB7C5B">
      <w:pPr>
        <w:pStyle w:val="Prrafodelista"/>
        <w:numPr>
          <w:ilvl w:val="0"/>
          <w:numId w:val="39"/>
        </w:numPr>
        <w:spacing w:before="200" w:line="276" w:lineRule="auto"/>
        <w:ind w:left="284" w:hanging="284"/>
        <w:jc w:val="both"/>
        <w:rPr>
          <w:rFonts w:ascii="Arial" w:hAnsi="Arial" w:cs="Arial"/>
        </w:rPr>
      </w:pPr>
      <w:r>
        <w:rPr>
          <w:rFonts w:ascii="Arial" w:hAnsi="Arial" w:cs="Arial"/>
        </w:rPr>
        <w:t>Activos a valor razonable con cambios en PYG mantenidos para negociar.</w:t>
      </w:r>
    </w:p>
    <w:p w14:paraId="6F88C1B1" w14:textId="77777777" w:rsidR="009B0B40" w:rsidRPr="00C416E7" w:rsidRDefault="009B0B40" w:rsidP="001E1C0D">
      <w:pPr>
        <w:spacing w:before="200" w:line="276" w:lineRule="auto"/>
        <w:jc w:val="both"/>
        <w:rPr>
          <w:rFonts w:ascii="Arial Narrow" w:hAnsi="Arial Narrow"/>
          <w:sz w:val="22"/>
          <w:szCs w:val="22"/>
        </w:rPr>
      </w:pPr>
      <w:r w:rsidRPr="00C416E7">
        <w:rPr>
          <w:rFonts w:ascii="Arial" w:hAnsi="Arial" w:cs="Arial"/>
          <w:b/>
          <w:color w:val="005BA6"/>
          <w:sz w:val="22"/>
          <w:szCs w:val="22"/>
        </w:rPr>
        <w:t>4.</w:t>
      </w:r>
      <w:r>
        <w:rPr>
          <w:rFonts w:ascii="Arial" w:hAnsi="Arial" w:cs="Arial"/>
          <w:b/>
          <w:color w:val="005BA6"/>
          <w:sz w:val="22"/>
          <w:szCs w:val="22"/>
        </w:rPr>
        <w:t>4</w:t>
      </w:r>
      <w:r w:rsidRPr="00C416E7">
        <w:rPr>
          <w:rFonts w:ascii="Arial" w:hAnsi="Arial" w:cs="Arial"/>
          <w:b/>
          <w:color w:val="005BA6"/>
          <w:sz w:val="22"/>
          <w:szCs w:val="22"/>
        </w:rPr>
        <w:t>.1.1.- Préstamos y partidas a cobrar</w:t>
      </w:r>
    </w:p>
    <w:p w14:paraId="6C7BA167" w14:textId="77777777" w:rsidR="009B0B40" w:rsidRPr="000D5B06" w:rsidRDefault="009B0B40" w:rsidP="001E1C0D">
      <w:pPr>
        <w:spacing w:before="200" w:line="276" w:lineRule="auto"/>
        <w:jc w:val="both"/>
        <w:rPr>
          <w:rFonts w:ascii="Arial" w:hAnsi="Arial" w:cs="Arial"/>
        </w:rPr>
      </w:pPr>
      <w:r>
        <w:rPr>
          <w:rFonts w:ascii="Arial" w:hAnsi="Arial" w:cs="Arial"/>
        </w:rPr>
        <w:t>En esta</w:t>
      </w:r>
      <w:r w:rsidRPr="000D5B06">
        <w:rPr>
          <w:rFonts w:ascii="Arial" w:hAnsi="Arial" w:cs="Arial"/>
        </w:rPr>
        <w:t xml:space="preserve"> categoría</w:t>
      </w:r>
      <w:r>
        <w:rPr>
          <w:rFonts w:ascii="Arial" w:hAnsi="Arial" w:cs="Arial"/>
        </w:rPr>
        <w:t xml:space="preserve"> y bajo el epígrafe de “Inversiones Financieras a largo Plazo” la Sociedad registra los créditos concedidos a terceros. Registra</w:t>
      </w:r>
      <w:r w:rsidRPr="000D5B06">
        <w:rPr>
          <w:rFonts w:ascii="Arial" w:hAnsi="Arial" w:cs="Arial"/>
        </w:rPr>
        <w:t xml:space="preserve"> los préstamos concedidos a Comunidades de Regantes y Ayuntamientos para la transformación de secano en regadío. Los activos financieros incluidos en esta categoría se valoran por su coste amortizado. </w:t>
      </w:r>
    </w:p>
    <w:p w14:paraId="5DEBE13B" w14:textId="77777777" w:rsidR="009B0B40" w:rsidRPr="000D5B06" w:rsidRDefault="009B0B40" w:rsidP="001E1C0D">
      <w:pPr>
        <w:spacing w:before="200" w:line="276" w:lineRule="auto"/>
        <w:jc w:val="both"/>
        <w:rPr>
          <w:rFonts w:ascii="Arial" w:hAnsi="Arial" w:cs="Arial"/>
        </w:rPr>
      </w:pPr>
      <w:r w:rsidRPr="000D5B06">
        <w:rPr>
          <w:rFonts w:ascii="Arial" w:hAnsi="Arial" w:cs="Arial"/>
        </w:rPr>
        <w:t xml:space="preserve">Los créditos a Comunidades de Regantes y Ayuntamientos se conceden a largo plazo (entre 20 y 25 años) y figuran contabilizados por su importe nominal. </w:t>
      </w:r>
    </w:p>
    <w:p w14:paraId="3D2C752B" w14:textId="77777777" w:rsidR="009B0B40" w:rsidRPr="000D5B06" w:rsidRDefault="009B0B40" w:rsidP="001E1C0D">
      <w:pPr>
        <w:spacing w:before="200" w:line="276" w:lineRule="auto"/>
        <w:jc w:val="both"/>
        <w:rPr>
          <w:rFonts w:ascii="Arial" w:hAnsi="Arial" w:cs="Arial"/>
        </w:rPr>
      </w:pPr>
      <w:r w:rsidRPr="000D5B06">
        <w:rPr>
          <w:rFonts w:ascii="Arial" w:hAnsi="Arial" w:cs="Arial"/>
        </w:rPr>
        <w:t>Las cuotas de los créditos vencidas se traspasan a una cuenta que se incluye dentro del epígrafe de Balance “Créditos a empresas” hasta el momento de su cancelación.</w:t>
      </w:r>
    </w:p>
    <w:p w14:paraId="6D97B933" w14:textId="77777777" w:rsidR="009B0B40" w:rsidRPr="000D5B06" w:rsidRDefault="009B0B40" w:rsidP="001E1C0D">
      <w:pPr>
        <w:spacing w:before="200" w:line="276" w:lineRule="auto"/>
        <w:jc w:val="both"/>
        <w:rPr>
          <w:rFonts w:ascii="Arial" w:hAnsi="Arial" w:cs="Arial"/>
        </w:rPr>
      </w:pPr>
      <w:r w:rsidRPr="000D5B06">
        <w:rPr>
          <w:rFonts w:ascii="Arial" w:hAnsi="Arial" w:cs="Arial"/>
        </w:rPr>
        <w:t xml:space="preserve">La Sociedad corrige el valor de los créditos mediante la dotación de las oportunas provisiones, tanto de aquellos vencimientos impagados para los que existe duda razonable sobre su cobro como de los importes no vencidos de estos mismos préstamos. </w:t>
      </w:r>
    </w:p>
    <w:p w14:paraId="70A8DDC6" w14:textId="77777777" w:rsidR="009B0B40" w:rsidRPr="00406F5A" w:rsidRDefault="009B0B40" w:rsidP="001E1C0D">
      <w:pPr>
        <w:pStyle w:val="Sangradetextonormal"/>
        <w:spacing w:before="200" w:line="276" w:lineRule="auto"/>
        <w:ind w:firstLine="0"/>
        <w:rPr>
          <w:rFonts w:ascii="Arial" w:hAnsi="Arial" w:cs="Arial"/>
        </w:rPr>
      </w:pPr>
      <w:r w:rsidRPr="00406F5A">
        <w:rPr>
          <w:rFonts w:ascii="Arial" w:hAnsi="Arial" w:cs="Arial"/>
        </w:rPr>
        <w:t>Todos los préstamos que figuran en balance han sido concedidos por la Sociedad en su condición de intermediario financiero entre la Comunidad Foral de Navarra y los beneficiarios regantes, en base a la legislación foral aplicable en cada momento. La Ley Foral 18/1994, de Reforma de Infraestructuras Agrícolas, establece en su disposición transitoria primera la posibilidad de que los beneficiarios de sistemas de financiación anteriores, para transformación o mejora de regadíos, se acojan a la nueva financiación recogida en la norma. Esto trae consigo la cancelación anticipada de los préstamos concedidos por la Sociedad y que afecten a beneficiarios que puedan y quieran acogerse a la mencionada disposición.</w:t>
      </w:r>
    </w:p>
    <w:p w14:paraId="1950E5B3" w14:textId="77777777" w:rsidR="009B0B40" w:rsidRPr="000D5B06" w:rsidRDefault="009B0B40" w:rsidP="001E1C0D">
      <w:pPr>
        <w:spacing w:before="200" w:line="276" w:lineRule="auto"/>
        <w:jc w:val="both"/>
        <w:rPr>
          <w:rFonts w:ascii="Arial" w:hAnsi="Arial" w:cs="Arial"/>
        </w:rPr>
      </w:pPr>
      <w:r>
        <w:rPr>
          <w:rFonts w:ascii="Arial" w:hAnsi="Arial" w:cs="Arial"/>
        </w:rPr>
        <w:t xml:space="preserve">De igual modo, </w:t>
      </w:r>
      <w:r w:rsidRPr="000D5B06">
        <w:rPr>
          <w:rFonts w:ascii="Arial" w:hAnsi="Arial" w:cs="Arial"/>
        </w:rPr>
        <w:t xml:space="preserve">el epígrafe de “Otros activos financieros” dentro de “Inversiones financieras a largo plazo” recoge </w:t>
      </w:r>
      <w:r>
        <w:rPr>
          <w:rFonts w:ascii="Arial" w:hAnsi="Arial" w:cs="Arial"/>
        </w:rPr>
        <w:t>una fianza a largo plazo.</w:t>
      </w:r>
      <w:r w:rsidR="004E0526">
        <w:rPr>
          <w:rFonts w:ascii="Arial" w:hAnsi="Arial" w:cs="Arial"/>
        </w:rPr>
        <w:t xml:space="preserve"> </w:t>
      </w:r>
      <w:r w:rsidRPr="000D5B06">
        <w:rPr>
          <w:rFonts w:ascii="Arial" w:hAnsi="Arial" w:cs="Arial"/>
        </w:rPr>
        <w:t>Dicho</w:t>
      </w:r>
      <w:r>
        <w:rPr>
          <w:rFonts w:ascii="Arial" w:hAnsi="Arial" w:cs="Arial"/>
        </w:rPr>
        <w:t>s</w:t>
      </w:r>
      <w:r w:rsidRPr="000D5B06">
        <w:rPr>
          <w:rFonts w:ascii="Arial" w:hAnsi="Arial" w:cs="Arial"/>
        </w:rPr>
        <w:t xml:space="preserve"> activo</w:t>
      </w:r>
      <w:r>
        <w:rPr>
          <w:rFonts w:ascii="Arial" w:hAnsi="Arial" w:cs="Arial"/>
        </w:rPr>
        <w:t>s</w:t>
      </w:r>
      <w:r w:rsidRPr="000D5B06">
        <w:rPr>
          <w:rFonts w:ascii="Arial" w:hAnsi="Arial" w:cs="Arial"/>
        </w:rPr>
        <w:t xml:space="preserve"> financiero</w:t>
      </w:r>
      <w:r>
        <w:rPr>
          <w:rFonts w:ascii="Arial" w:hAnsi="Arial" w:cs="Arial"/>
        </w:rPr>
        <w:t>s</w:t>
      </w:r>
      <w:r w:rsidRPr="000D5B06">
        <w:rPr>
          <w:rFonts w:ascii="Arial" w:hAnsi="Arial" w:cs="Arial"/>
        </w:rPr>
        <w:t xml:space="preserve"> se valora</w:t>
      </w:r>
      <w:r>
        <w:rPr>
          <w:rFonts w:ascii="Arial" w:hAnsi="Arial" w:cs="Arial"/>
        </w:rPr>
        <w:t>n</w:t>
      </w:r>
      <w:r w:rsidRPr="000D5B06">
        <w:rPr>
          <w:rFonts w:ascii="Arial" w:hAnsi="Arial" w:cs="Arial"/>
        </w:rPr>
        <w:t xml:space="preserve"> por su coste amortizado.</w:t>
      </w:r>
    </w:p>
    <w:p w14:paraId="4F88C5BD" w14:textId="77777777" w:rsidR="009B0B40" w:rsidRPr="000D5B06" w:rsidRDefault="009B0B40" w:rsidP="001E1C0D">
      <w:pPr>
        <w:tabs>
          <w:tab w:val="right" w:pos="7372"/>
          <w:tab w:val="right" w:pos="9214"/>
        </w:tabs>
        <w:spacing w:before="200" w:line="276" w:lineRule="auto"/>
        <w:jc w:val="both"/>
        <w:rPr>
          <w:rFonts w:ascii="Arial" w:hAnsi="Arial" w:cs="Arial"/>
        </w:rPr>
      </w:pPr>
      <w:r w:rsidRPr="000D5B06">
        <w:rPr>
          <w:rFonts w:ascii="Arial" w:hAnsi="Arial" w:cs="Arial"/>
        </w:rPr>
        <w:t xml:space="preserve">Esta partida recoge de igual modo los depósitos </w:t>
      </w:r>
      <w:r>
        <w:rPr>
          <w:rFonts w:ascii="Arial" w:hAnsi="Arial" w:cs="Arial"/>
        </w:rPr>
        <w:t xml:space="preserve">y fianzas </w:t>
      </w:r>
      <w:r w:rsidRPr="000D5B06">
        <w:rPr>
          <w:rFonts w:ascii="Arial" w:hAnsi="Arial" w:cs="Arial"/>
        </w:rPr>
        <w:t xml:space="preserve">que a corto plazo tiene constituidos la Sociedad. </w:t>
      </w:r>
    </w:p>
    <w:p w14:paraId="4D16C8F6" w14:textId="77777777" w:rsidR="009B0B40" w:rsidRPr="000D5B06" w:rsidRDefault="009B0B40" w:rsidP="001E1C0D">
      <w:pPr>
        <w:spacing w:before="200" w:line="276" w:lineRule="auto"/>
        <w:jc w:val="both"/>
        <w:rPr>
          <w:rFonts w:ascii="Arial" w:hAnsi="Arial" w:cs="Arial"/>
        </w:rPr>
      </w:pPr>
      <w:r>
        <w:rPr>
          <w:rFonts w:ascii="Arial" w:hAnsi="Arial" w:cs="Arial"/>
        </w:rPr>
        <w:t>Las partidas</w:t>
      </w:r>
      <w:r w:rsidRPr="000D5B06">
        <w:rPr>
          <w:rFonts w:ascii="Arial" w:hAnsi="Arial" w:cs="Arial"/>
        </w:rPr>
        <w:t xml:space="preserve"> “Clientes por ventas o prestación de servicios” </w:t>
      </w:r>
      <w:r>
        <w:rPr>
          <w:rFonts w:ascii="Arial" w:hAnsi="Arial" w:cs="Arial"/>
        </w:rPr>
        <w:t xml:space="preserve">y “Clientes, empresas del grupo y asociadas” del epígrafe “Deudores comerciales y otras cuentas a cobrar” </w:t>
      </w:r>
      <w:r w:rsidRPr="000D5B06">
        <w:rPr>
          <w:rFonts w:ascii="Arial" w:hAnsi="Arial" w:cs="Arial"/>
        </w:rPr>
        <w:t>recoge</w:t>
      </w:r>
      <w:r>
        <w:rPr>
          <w:rFonts w:ascii="Arial" w:hAnsi="Arial" w:cs="Arial"/>
        </w:rPr>
        <w:t>n</w:t>
      </w:r>
      <w:r w:rsidRPr="000D5B06">
        <w:rPr>
          <w:rFonts w:ascii="Arial" w:hAnsi="Arial" w:cs="Arial"/>
        </w:rPr>
        <w:t xml:space="preserve"> el saldo de los deudores comerciales que tienen vencimiento no superior al año.</w:t>
      </w:r>
      <w:r w:rsidR="004E0526">
        <w:rPr>
          <w:rFonts w:ascii="Arial" w:hAnsi="Arial" w:cs="Arial"/>
        </w:rPr>
        <w:t xml:space="preserve"> </w:t>
      </w:r>
      <w:r w:rsidRPr="000D5B06">
        <w:rPr>
          <w:rFonts w:ascii="Arial" w:hAnsi="Arial" w:cs="Arial"/>
        </w:rPr>
        <w:t xml:space="preserve">Figuran en el balance por su valor nominal dado que el efecto de no actualizar los flujos de efectivo no es significativo. </w:t>
      </w:r>
    </w:p>
    <w:p w14:paraId="7E287562" w14:textId="77777777" w:rsidR="009B0B40" w:rsidRPr="000D5B06" w:rsidRDefault="009B0B40" w:rsidP="001E1C0D">
      <w:pPr>
        <w:spacing w:before="200" w:line="276" w:lineRule="auto"/>
        <w:jc w:val="both"/>
        <w:rPr>
          <w:rFonts w:ascii="Arial" w:hAnsi="Arial" w:cs="Arial"/>
        </w:rPr>
      </w:pPr>
      <w:r w:rsidRPr="000D5B06">
        <w:rPr>
          <w:rFonts w:ascii="Arial" w:hAnsi="Arial" w:cs="Arial"/>
        </w:rPr>
        <w:t xml:space="preserve">Bajo el epígrafe de “Deudores Varios”, la Sociedad recoge </w:t>
      </w:r>
      <w:r w:rsidR="00660E79">
        <w:rPr>
          <w:rFonts w:ascii="Arial" w:hAnsi="Arial" w:cs="Arial"/>
        </w:rPr>
        <w:t>el importe pendiente de cobro de subvenciones procedentes tanto de Gobierno de Navarra como de otros Organismos. Figuran en el balance por su valor nominal.</w:t>
      </w:r>
    </w:p>
    <w:p w14:paraId="712C1FA5" w14:textId="77777777" w:rsidR="009B0B40" w:rsidRDefault="009B0B40" w:rsidP="001E1C0D">
      <w:pPr>
        <w:spacing w:before="200" w:line="276" w:lineRule="auto"/>
        <w:jc w:val="both"/>
        <w:rPr>
          <w:rFonts w:ascii="Arial" w:hAnsi="Arial" w:cs="Arial"/>
        </w:rPr>
      </w:pPr>
      <w:r w:rsidRPr="000D5B06">
        <w:rPr>
          <w:rFonts w:ascii="Arial" w:hAnsi="Arial" w:cs="Arial"/>
        </w:rPr>
        <w:t>Bajo el epígrafe de “</w:t>
      </w:r>
      <w:r>
        <w:rPr>
          <w:rFonts w:ascii="Arial" w:hAnsi="Arial" w:cs="Arial"/>
        </w:rPr>
        <w:t>Deudores comerciales y otras cuentas a cobrar</w:t>
      </w:r>
      <w:r w:rsidRPr="000D5B06">
        <w:rPr>
          <w:rFonts w:ascii="Arial" w:hAnsi="Arial" w:cs="Arial"/>
        </w:rPr>
        <w:t xml:space="preserve">”, la Sociedad recoge </w:t>
      </w:r>
      <w:r>
        <w:rPr>
          <w:rFonts w:ascii="Arial" w:hAnsi="Arial" w:cs="Arial"/>
        </w:rPr>
        <w:t xml:space="preserve">de igual modo </w:t>
      </w:r>
      <w:r w:rsidRPr="000D5B06">
        <w:rPr>
          <w:rFonts w:ascii="Arial" w:hAnsi="Arial" w:cs="Arial"/>
        </w:rPr>
        <w:t>los cré</w:t>
      </w:r>
      <w:r>
        <w:rPr>
          <w:rFonts w:ascii="Arial" w:hAnsi="Arial" w:cs="Arial"/>
        </w:rPr>
        <w:t>ditos al personal a corto plazo y los créditos con las administraciones públicas. Al igual que los activos financieros citados anteriormente se valoran por su valor nominal.</w:t>
      </w:r>
    </w:p>
    <w:p w14:paraId="44C6DE46" w14:textId="77777777" w:rsidR="00FC5738" w:rsidRDefault="0096011F" w:rsidP="001E1C0D">
      <w:pPr>
        <w:spacing w:before="200" w:line="276" w:lineRule="auto"/>
        <w:jc w:val="both"/>
        <w:rPr>
          <w:rFonts w:ascii="Arial" w:hAnsi="Arial" w:cs="Arial"/>
        </w:rPr>
      </w:pPr>
      <w:r>
        <w:rPr>
          <w:rFonts w:ascii="Arial" w:hAnsi="Arial" w:cs="Arial"/>
        </w:rPr>
        <w:t xml:space="preserve">Bajo el epígrafe de “Inversiones en empresas del grupo y asociadas a corto plazo”, la Sociedad contabiliza el importe </w:t>
      </w:r>
      <w:r w:rsidR="00FC5738">
        <w:rPr>
          <w:rFonts w:ascii="Arial" w:hAnsi="Arial" w:cs="Arial"/>
        </w:rPr>
        <w:t xml:space="preserve">facturado a Gobierno de Navarra y pendiente de cobro correspondiente a los cánones tanto de la Concesión de la ZRCN como de la Concesión de la Ampliación de la 1ª Fase de la ZRCN. </w:t>
      </w:r>
    </w:p>
    <w:p w14:paraId="1C49FB79" w14:textId="77777777" w:rsidR="009B0B40" w:rsidRPr="000D5B06" w:rsidRDefault="009B0B40" w:rsidP="001E1C0D">
      <w:pPr>
        <w:spacing w:before="200" w:line="276" w:lineRule="auto"/>
        <w:jc w:val="both"/>
        <w:rPr>
          <w:rFonts w:ascii="Arial" w:hAnsi="Arial" w:cs="Arial"/>
        </w:rPr>
      </w:pPr>
      <w:r>
        <w:rPr>
          <w:rFonts w:ascii="Arial" w:hAnsi="Arial" w:cs="Arial"/>
        </w:rPr>
        <w:t xml:space="preserve">De igual modo, </w:t>
      </w:r>
      <w:r w:rsidRPr="000D5B06">
        <w:rPr>
          <w:rFonts w:ascii="Arial" w:hAnsi="Arial" w:cs="Arial"/>
        </w:rPr>
        <w:t xml:space="preserve">el epígrafe “Otros activos financieros” dentro de “Inversiones financieras a </w:t>
      </w:r>
      <w:r>
        <w:rPr>
          <w:rFonts w:ascii="Arial" w:hAnsi="Arial" w:cs="Arial"/>
        </w:rPr>
        <w:t>corto</w:t>
      </w:r>
      <w:r w:rsidRPr="000D5B06">
        <w:rPr>
          <w:rFonts w:ascii="Arial" w:hAnsi="Arial" w:cs="Arial"/>
        </w:rPr>
        <w:t xml:space="preserve"> plazo” recoge </w:t>
      </w:r>
      <w:r>
        <w:rPr>
          <w:rFonts w:ascii="Arial" w:hAnsi="Arial" w:cs="Arial"/>
        </w:rPr>
        <w:t>el importe de fianzas</w:t>
      </w:r>
      <w:r w:rsidR="005C68E9">
        <w:rPr>
          <w:rFonts w:ascii="Arial" w:hAnsi="Arial" w:cs="Arial"/>
        </w:rPr>
        <w:t xml:space="preserve"> y depósitos constituido</w:t>
      </w:r>
      <w:r>
        <w:rPr>
          <w:rFonts w:ascii="Arial" w:hAnsi="Arial" w:cs="Arial"/>
        </w:rPr>
        <w:t>s</w:t>
      </w:r>
      <w:r w:rsidRPr="000D5B06">
        <w:rPr>
          <w:rFonts w:ascii="Arial" w:hAnsi="Arial" w:cs="Arial"/>
        </w:rPr>
        <w:t xml:space="preserve"> a </w:t>
      </w:r>
      <w:r>
        <w:rPr>
          <w:rFonts w:ascii="Arial" w:hAnsi="Arial" w:cs="Arial"/>
        </w:rPr>
        <w:t xml:space="preserve">corto plazo. </w:t>
      </w:r>
      <w:r w:rsidRPr="000D5B06">
        <w:rPr>
          <w:rFonts w:ascii="Arial" w:hAnsi="Arial" w:cs="Arial"/>
        </w:rPr>
        <w:t>Dicho</w:t>
      </w:r>
      <w:r>
        <w:rPr>
          <w:rFonts w:ascii="Arial" w:hAnsi="Arial" w:cs="Arial"/>
        </w:rPr>
        <w:t>s</w:t>
      </w:r>
      <w:r w:rsidRPr="000D5B06">
        <w:rPr>
          <w:rFonts w:ascii="Arial" w:hAnsi="Arial" w:cs="Arial"/>
        </w:rPr>
        <w:t xml:space="preserve"> activo</w:t>
      </w:r>
      <w:r>
        <w:rPr>
          <w:rFonts w:ascii="Arial" w:hAnsi="Arial" w:cs="Arial"/>
        </w:rPr>
        <w:t>s</w:t>
      </w:r>
      <w:r w:rsidRPr="000D5B06">
        <w:rPr>
          <w:rFonts w:ascii="Arial" w:hAnsi="Arial" w:cs="Arial"/>
        </w:rPr>
        <w:t xml:space="preserve"> financiero</w:t>
      </w:r>
      <w:r>
        <w:rPr>
          <w:rFonts w:ascii="Arial" w:hAnsi="Arial" w:cs="Arial"/>
        </w:rPr>
        <w:t>s</w:t>
      </w:r>
      <w:r w:rsidRPr="000D5B06">
        <w:rPr>
          <w:rFonts w:ascii="Arial" w:hAnsi="Arial" w:cs="Arial"/>
        </w:rPr>
        <w:t xml:space="preserve"> se valora</w:t>
      </w:r>
      <w:r>
        <w:rPr>
          <w:rFonts w:ascii="Arial" w:hAnsi="Arial" w:cs="Arial"/>
        </w:rPr>
        <w:t>n</w:t>
      </w:r>
      <w:r w:rsidRPr="000D5B06">
        <w:rPr>
          <w:rFonts w:ascii="Arial" w:hAnsi="Arial" w:cs="Arial"/>
        </w:rPr>
        <w:t xml:space="preserve"> por su coste amortizado.</w:t>
      </w:r>
    </w:p>
    <w:p w14:paraId="5D4114D7" w14:textId="77777777" w:rsidR="009B0B40" w:rsidRPr="000F7736" w:rsidRDefault="009B0B40" w:rsidP="001E1C0D">
      <w:pPr>
        <w:pStyle w:val="Sangradetextonormal"/>
        <w:spacing w:before="200" w:line="276" w:lineRule="auto"/>
        <w:ind w:firstLine="0"/>
        <w:rPr>
          <w:rFonts w:ascii="Arial" w:hAnsi="Arial" w:cs="Arial"/>
          <w:b/>
          <w:color w:val="005BA6"/>
          <w:sz w:val="22"/>
          <w:szCs w:val="22"/>
        </w:rPr>
      </w:pPr>
      <w:r w:rsidRPr="000F7736">
        <w:rPr>
          <w:rFonts w:ascii="Arial" w:hAnsi="Arial" w:cs="Arial"/>
          <w:b/>
          <w:color w:val="005BA6"/>
          <w:sz w:val="22"/>
          <w:szCs w:val="22"/>
        </w:rPr>
        <w:t xml:space="preserve">4.4.1.2.- Activos disponibles para la venta </w:t>
      </w:r>
    </w:p>
    <w:p w14:paraId="24C96BAD" w14:textId="77777777" w:rsidR="009B0B40" w:rsidRDefault="009B0B40" w:rsidP="001E1C0D">
      <w:pPr>
        <w:spacing w:before="200" w:line="276" w:lineRule="auto"/>
        <w:jc w:val="both"/>
        <w:rPr>
          <w:rFonts w:ascii="Arial" w:hAnsi="Arial" w:cs="Arial"/>
        </w:rPr>
      </w:pPr>
      <w:r w:rsidRPr="00A24825">
        <w:rPr>
          <w:rFonts w:ascii="Arial" w:hAnsi="Arial" w:cs="Arial"/>
        </w:rPr>
        <w:t>Incluyen los valores representativos de deuda y los instrumentos de patrimonio que no se han incluido en las categorías anteriores.</w:t>
      </w:r>
    </w:p>
    <w:p w14:paraId="5E349114" w14:textId="77777777" w:rsidR="009B0B40" w:rsidRDefault="009B0B40" w:rsidP="001E1C0D">
      <w:pPr>
        <w:spacing w:before="200" w:line="276" w:lineRule="auto"/>
        <w:jc w:val="both"/>
        <w:rPr>
          <w:rFonts w:ascii="Arial" w:hAnsi="Arial" w:cs="Arial"/>
        </w:rPr>
      </w:pPr>
      <w:r w:rsidRPr="00A24825">
        <w:rPr>
          <w:rFonts w:ascii="Arial" w:hAnsi="Arial" w:cs="Arial"/>
        </w:rPr>
        <w:t xml:space="preserve">En su reconocimiento inicial en el balance, se registran por su valor razonable, que, salvo evidencia en contrario, es el precio de la transacción, que equivale al valor razonable de la contraprestación entregada más los costes de transacción que les sean directamente atribuibles. Para los instrumentos de patrimonio se incluye en el valor inicial el importe de los derechos preferentes de suscripción y similares que se han adquirido. </w:t>
      </w:r>
    </w:p>
    <w:p w14:paraId="21AEA62D" w14:textId="77777777" w:rsidR="009B0B40" w:rsidRPr="00A24825" w:rsidRDefault="009B0B40" w:rsidP="001E1C0D">
      <w:pPr>
        <w:spacing w:before="200" w:line="276" w:lineRule="auto"/>
        <w:jc w:val="both"/>
        <w:rPr>
          <w:rFonts w:ascii="Arial" w:hAnsi="Arial" w:cs="Arial"/>
        </w:rPr>
      </w:pPr>
      <w:r w:rsidRPr="00A24825">
        <w:rPr>
          <w:rFonts w:ascii="Arial" w:hAnsi="Arial" w:cs="Arial"/>
        </w:rPr>
        <w:t xml:space="preserve">Tras su reconocimiento inicial, estos activos financieros se valoran a su valor razonable, sin deducir los costes de transacción en los que se pudiera incurrir en su enajenación. Los cambios que se producen en el valor razonable se registran directamente en el patrimonio neto, hasta que el activo financiero cause baja del balance o se deteriore, momento en el que el importe reconocido en patrimonio neto se imputará en la cuenta de pérdidas y ganancias. No obstante, las pérdidas y ganancias que resulten por diferencias de cambio en activos financieros monetarios en moneda extranjera se registran en la cuenta de pérdidas y ganancias. </w:t>
      </w:r>
    </w:p>
    <w:p w14:paraId="4429D421" w14:textId="77777777" w:rsidR="009B0B40" w:rsidRPr="00A24825" w:rsidRDefault="009B0B40" w:rsidP="001E1C0D">
      <w:pPr>
        <w:spacing w:before="200" w:line="276" w:lineRule="auto"/>
        <w:jc w:val="both"/>
        <w:rPr>
          <w:rFonts w:ascii="Arial" w:hAnsi="Arial" w:cs="Arial"/>
        </w:rPr>
      </w:pPr>
      <w:r w:rsidRPr="00A24825">
        <w:rPr>
          <w:rFonts w:ascii="Arial" w:hAnsi="Arial" w:cs="Arial"/>
        </w:rPr>
        <w:t xml:space="preserve">Los instrumentos de patrimonio cuyo valor razonable no puede ser estimado de manera fiable se valoran por su coste, menos, en su caso, el importe acumulado de las correcciones valorativas por deterioro de su valor. </w:t>
      </w:r>
    </w:p>
    <w:p w14:paraId="13BBD048" w14:textId="77777777" w:rsidR="00710036" w:rsidRDefault="00710036">
      <w:pPr>
        <w:rPr>
          <w:rFonts w:ascii="Arial" w:hAnsi="Arial" w:cs="Arial"/>
          <w:b/>
          <w:color w:val="005BA6"/>
          <w:sz w:val="22"/>
          <w:szCs w:val="22"/>
        </w:rPr>
      </w:pPr>
    </w:p>
    <w:p w14:paraId="273208EA" w14:textId="77777777" w:rsidR="000A36EF" w:rsidRDefault="000A36EF">
      <w:pPr>
        <w:rPr>
          <w:rFonts w:ascii="Arial" w:hAnsi="Arial" w:cs="Arial"/>
          <w:b/>
          <w:color w:val="005BA6"/>
          <w:sz w:val="22"/>
          <w:szCs w:val="22"/>
        </w:rPr>
      </w:pPr>
      <w:r>
        <w:rPr>
          <w:rFonts w:ascii="Arial" w:hAnsi="Arial" w:cs="Arial"/>
          <w:b/>
          <w:color w:val="005BA6"/>
          <w:sz w:val="22"/>
          <w:szCs w:val="22"/>
        </w:rPr>
        <w:br w:type="page"/>
      </w:r>
    </w:p>
    <w:p w14:paraId="458CB9AC" w14:textId="77777777" w:rsidR="009B0B40" w:rsidRDefault="009B0B40" w:rsidP="001E1C0D">
      <w:pPr>
        <w:spacing w:before="200" w:line="276" w:lineRule="auto"/>
        <w:jc w:val="both"/>
        <w:rPr>
          <w:rFonts w:ascii="Arial" w:hAnsi="Arial" w:cs="Arial"/>
          <w:b/>
          <w:color w:val="005BA6"/>
          <w:sz w:val="22"/>
          <w:szCs w:val="22"/>
        </w:rPr>
      </w:pPr>
      <w:r w:rsidRPr="00C416E7">
        <w:rPr>
          <w:rFonts w:ascii="Arial" w:hAnsi="Arial" w:cs="Arial"/>
          <w:b/>
          <w:color w:val="005BA6"/>
          <w:sz w:val="22"/>
          <w:szCs w:val="22"/>
        </w:rPr>
        <w:t>4.</w:t>
      </w:r>
      <w:r>
        <w:rPr>
          <w:rFonts w:ascii="Arial" w:hAnsi="Arial" w:cs="Arial"/>
          <w:b/>
          <w:color w:val="005BA6"/>
          <w:sz w:val="22"/>
          <w:szCs w:val="22"/>
        </w:rPr>
        <w:t>4</w:t>
      </w:r>
      <w:r w:rsidRPr="00C416E7">
        <w:rPr>
          <w:rFonts w:ascii="Arial" w:hAnsi="Arial" w:cs="Arial"/>
          <w:b/>
          <w:color w:val="005BA6"/>
          <w:sz w:val="22"/>
          <w:szCs w:val="22"/>
        </w:rPr>
        <w:t>.1.</w:t>
      </w:r>
      <w:r>
        <w:rPr>
          <w:rFonts w:ascii="Arial" w:hAnsi="Arial" w:cs="Arial"/>
          <w:b/>
          <w:color w:val="005BA6"/>
          <w:sz w:val="22"/>
          <w:szCs w:val="22"/>
        </w:rPr>
        <w:t>3</w:t>
      </w:r>
      <w:r w:rsidRPr="00C416E7">
        <w:rPr>
          <w:rFonts w:ascii="Arial" w:hAnsi="Arial" w:cs="Arial"/>
          <w:b/>
          <w:color w:val="005BA6"/>
          <w:sz w:val="22"/>
          <w:szCs w:val="22"/>
        </w:rPr>
        <w:t xml:space="preserve">.- </w:t>
      </w:r>
      <w:r>
        <w:rPr>
          <w:rFonts w:ascii="Arial" w:hAnsi="Arial" w:cs="Arial"/>
          <w:b/>
          <w:color w:val="005BA6"/>
          <w:sz w:val="22"/>
          <w:szCs w:val="22"/>
        </w:rPr>
        <w:t>Inversiones en el patrimonio de empresas del grupo y asociadas</w:t>
      </w:r>
    </w:p>
    <w:p w14:paraId="42BBCBF5" w14:textId="77777777" w:rsidR="009B0B40" w:rsidRDefault="009B0B40" w:rsidP="001E1C0D">
      <w:pPr>
        <w:spacing w:before="200" w:line="276" w:lineRule="auto"/>
        <w:jc w:val="both"/>
        <w:rPr>
          <w:rFonts w:ascii="Arial" w:hAnsi="Arial" w:cs="Arial"/>
        </w:rPr>
      </w:pPr>
      <w:r>
        <w:rPr>
          <w:rFonts w:ascii="Arial" w:hAnsi="Arial" w:cs="Arial"/>
        </w:rPr>
        <w:t>Incluyen las inversiones en el patrimonio de las empresas sobre las que se tiene control (empresas del grupo) o se ejerce una influencia significativa (empresas asociadas).</w:t>
      </w:r>
    </w:p>
    <w:p w14:paraId="398C52FE" w14:textId="77777777" w:rsidR="009B0B40" w:rsidRDefault="009B0B40" w:rsidP="001E1C0D">
      <w:pPr>
        <w:spacing w:before="200" w:line="276" w:lineRule="auto"/>
        <w:jc w:val="both"/>
        <w:rPr>
          <w:rFonts w:ascii="Arial" w:hAnsi="Arial" w:cs="Arial"/>
        </w:rPr>
      </w:pPr>
      <w:r>
        <w:rPr>
          <w:rFonts w:ascii="Arial" w:hAnsi="Arial" w:cs="Arial"/>
        </w:rPr>
        <w:t>En su reconocimiento inicial en el balance, se registran por su valor razonable, que, salvo evidencia en contrario, es el precio de la transacción, que equivale al valor razonable de la contraprestación entregada más los costes de transacción que les sean directamente atribuibles.</w:t>
      </w:r>
    </w:p>
    <w:p w14:paraId="57589DB5" w14:textId="77777777" w:rsidR="009B0B40" w:rsidRDefault="009B0B40" w:rsidP="001E1C0D">
      <w:pPr>
        <w:spacing w:before="200" w:line="276" w:lineRule="auto"/>
        <w:jc w:val="both"/>
        <w:rPr>
          <w:rFonts w:ascii="Arial" w:hAnsi="Arial" w:cs="Arial"/>
        </w:rPr>
      </w:pPr>
      <w:r>
        <w:rPr>
          <w:rFonts w:ascii="Arial" w:hAnsi="Arial" w:cs="Arial"/>
        </w:rPr>
        <w:t>Cuando una inversión pasa a calificarse como empresa del grupo y asociada, se considerará como coste de dicha inversión el valor contable que debiera tener la misma inmediatamente antes de que la empresa pase a tener dicha calificación. En su caso, los ajustes valorativos previos asociados a dicha inversión contabilizados directamente en el patrimonio neto, se mantendrán en éste hasta que dicha inversión se enajene o deteriore.</w:t>
      </w:r>
    </w:p>
    <w:p w14:paraId="7DA714DF" w14:textId="77777777" w:rsidR="009B0B40" w:rsidRDefault="009B0B40" w:rsidP="001E1C0D">
      <w:pPr>
        <w:spacing w:before="200" w:line="276" w:lineRule="auto"/>
        <w:jc w:val="both"/>
        <w:rPr>
          <w:rFonts w:ascii="Arial" w:hAnsi="Arial" w:cs="Arial"/>
        </w:rPr>
      </w:pPr>
      <w:r>
        <w:rPr>
          <w:rFonts w:ascii="Arial" w:hAnsi="Arial" w:cs="Arial"/>
        </w:rPr>
        <w:t>En el valor inicial se incluye el importe de los derechos preferentes de suscripción y similares que se hayan adquirido.</w:t>
      </w:r>
    </w:p>
    <w:p w14:paraId="0DD8B357" w14:textId="77777777" w:rsidR="009B0B40" w:rsidRDefault="009B0B40" w:rsidP="001E1C0D">
      <w:pPr>
        <w:spacing w:before="200" w:line="276" w:lineRule="auto"/>
        <w:jc w:val="both"/>
        <w:rPr>
          <w:rFonts w:ascii="Arial" w:hAnsi="Arial" w:cs="Arial"/>
        </w:rPr>
      </w:pPr>
      <w:r>
        <w:rPr>
          <w:rFonts w:ascii="Arial" w:hAnsi="Arial" w:cs="Arial"/>
        </w:rPr>
        <w:t>Tras su reconocimiento inicial, estos activos financieros se valoran a su coste, menos, en su caso, el importe acumulado de las correcciones valorativas por deterioro.</w:t>
      </w:r>
    </w:p>
    <w:p w14:paraId="4D64BBB0" w14:textId="77777777" w:rsidR="009B0B40" w:rsidRDefault="009B0B40" w:rsidP="001E1C0D">
      <w:pPr>
        <w:spacing w:before="200" w:line="276" w:lineRule="auto"/>
        <w:jc w:val="both"/>
        <w:rPr>
          <w:rFonts w:ascii="Arial" w:hAnsi="Arial" w:cs="Arial"/>
        </w:rPr>
      </w:pPr>
      <w:r>
        <w:rPr>
          <w:rFonts w:ascii="Arial" w:hAnsi="Arial" w:cs="Arial"/>
        </w:rPr>
        <w:t>En el caso de la venta de derechos preferentes de suscripción y similares o segregación de los mismos para ejercitarlos, el importe del coste de los derechos disminuirá el valor contable de los respectivos activos.</w:t>
      </w:r>
    </w:p>
    <w:p w14:paraId="2C8139C9" w14:textId="77777777" w:rsidR="00257068" w:rsidRDefault="00257068" w:rsidP="00257068">
      <w:pPr>
        <w:spacing w:before="200" w:line="276" w:lineRule="auto"/>
        <w:jc w:val="both"/>
        <w:rPr>
          <w:rFonts w:ascii="Arial" w:hAnsi="Arial" w:cs="Arial"/>
          <w:b/>
          <w:color w:val="005BA6"/>
          <w:sz w:val="22"/>
          <w:szCs w:val="22"/>
        </w:rPr>
      </w:pPr>
      <w:r w:rsidRPr="00C416E7">
        <w:rPr>
          <w:rFonts w:ascii="Arial" w:hAnsi="Arial" w:cs="Arial"/>
          <w:b/>
          <w:color w:val="005BA6"/>
          <w:sz w:val="22"/>
          <w:szCs w:val="22"/>
        </w:rPr>
        <w:t>4.</w:t>
      </w:r>
      <w:r>
        <w:rPr>
          <w:rFonts w:ascii="Arial" w:hAnsi="Arial" w:cs="Arial"/>
          <w:b/>
          <w:color w:val="005BA6"/>
          <w:sz w:val="22"/>
          <w:szCs w:val="22"/>
        </w:rPr>
        <w:t>4</w:t>
      </w:r>
      <w:r w:rsidRPr="00C416E7">
        <w:rPr>
          <w:rFonts w:ascii="Arial" w:hAnsi="Arial" w:cs="Arial"/>
          <w:b/>
          <w:color w:val="005BA6"/>
          <w:sz w:val="22"/>
          <w:szCs w:val="22"/>
        </w:rPr>
        <w:t>.1.</w:t>
      </w:r>
      <w:r>
        <w:rPr>
          <w:rFonts w:ascii="Arial" w:hAnsi="Arial" w:cs="Arial"/>
          <w:b/>
          <w:color w:val="005BA6"/>
          <w:sz w:val="22"/>
          <w:szCs w:val="22"/>
        </w:rPr>
        <w:t>4</w:t>
      </w:r>
      <w:r w:rsidRPr="00C416E7">
        <w:rPr>
          <w:rFonts w:ascii="Arial" w:hAnsi="Arial" w:cs="Arial"/>
          <w:b/>
          <w:color w:val="005BA6"/>
          <w:sz w:val="22"/>
          <w:szCs w:val="22"/>
        </w:rPr>
        <w:t xml:space="preserve">.- </w:t>
      </w:r>
      <w:r>
        <w:rPr>
          <w:rFonts w:ascii="Arial" w:hAnsi="Arial" w:cs="Arial"/>
          <w:b/>
          <w:color w:val="005BA6"/>
          <w:sz w:val="22"/>
          <w:szCs w:val="22"/>
        </w:rPr>
        <w:t>Inversiones mantenidas hasta el vencimiento</w:t>
      </w:r>
    </w:p>
    <w:p w14:paraId="7492AE9B" w14:textId="77777777" w:rsidR="00257068" w:rsidRDefault="00257068" w:rsidP="001E1C0D">
      <w:pPr>
        <w:spacing w:before="200" w:line="276" w:lineRule="auto"/>
        <w:jc w:val="both"/>
        <w:rPr>
          <w:rFonts w:ascii="Arial" w:hAnsi="Arial" w:cs="Arial"/>
        </w:rPr>
      </w:pPr>
      <w:r>
        <w:rPr>
          <w:rFonts w:ascii="Arial" w:hAnsi="Arial" w:cs="Arial"/>
        </w:rPr>
        <w:t xml:space="preserve">Estos activos financieros </w:t>
      </w:r>
      <w:r w:rsidRPr="000D5B06">
        <w:rPr>
          <w:rFonts w:ascii="Arial" w:hAnsi="Arial" w:cs="Arial"/>
        </w:rPr>
        <w:t xml:space="preserve">se </w:t>
      </w:r>
      <w:r>
        <w:rPr>
          <w:rFonts w:ascii="Arial" w:hAnsi="Arial" w:cs="Arial"/>
        </w:rPr>
        <w:t>valoran</w:t>
      </w:r>
      <w:r w:rsidRPr="000D5B06">
        <w:rPr>
          <w:rFonts w:ascii="Arial" w:hAnsi="Arial" w:cs="Arial"/>
        </w:rPr>
        <w:t xml:space="preserve"> por su coste amortizado incrementado en los intereses devengados</w:t>
      </w:r>
      <w:r>
        <w:rPr>
          <w:rFonts w:ascii="Arial" w:hAnsi="Arial" w:cs="Arial"/>
        </w:rPr>
        <w:t xml:space="preserve"> en el ejercicio</w:t>
      </w:r>
      <w:r w:rsidRPr="000D5B06">
        <w:rPr>
          <w:rFonts w:ascii="Arial" w:hAnsi="Arial" w:cs="Arial"/>
        </w:rPr>
        <w:t xml:space="preserve"> correspondiente</w:t>
      </w:r>
      <w:r>
        <w:rPr>
          <w:rFonts w:ascii="Arial" w:hAnsi="Arial" w:cs="Arial"/>
        </w:rPr>
        <w:t xml:space="preserve">. </w:t>
      </w:r>
    </w:p>
    <w:p w14:paraId="3A41614D" w14:textId="77777777" w:rsidR="00257068" w:rsidRDefault="00257068" w:rsidP="00257068">
      <w:pPr>
        <w:spacing w:before="200" w:line="276" w:lineRule="auto"/>
        <w:jc w:val="both"/>
        <w:rPr>
          <w:rFonts w:ascii="Arial" w:hAnsi="Arial" w:cs="Arial"/>
          <w:b/>
          <w:color w:val="005BA6"/>
          <w:sz w:val="22"/>
          <w:szCs w:val="22"/>
        </w:rPr>
      </w:pPr>
      <w:r w:rsidRPr="00C416E7">
        <w:rPr>
          <w:rFonts w:ascii="Arial" w:hAnsi="Arial" w:cs="Arial"/>
          <w:b/>
          <w:color w:val="005BA6"/>
          <w:sz w:val="22"/>
          <w:szCs w:val="22"/>
        </w:rPr>
        <w:t>4.</w:t>
      </w:r>
      <w:r>
        <w:rPr>
          <w:rFonts w:ascii="Arial" w:hAnsi="Arial" w:cs="Arial"/>
          <w:b/>
          <w:color w:val="005BA6"/>
          <w:sz w:val="22"/>
          <w:szCs w:val="22"/>
        </w:rPr>
        <w:t>4</w:t>
      </w:r>
      <w:r w:rsidRPr="00C416E7">
        <w:rPr>
          <w:rFonts w:ascii="Arial" w:hAnsi="Arial" w:cs="Arial"/>
          <w:b/>
          <w:color w:val="005BA6"/>
          <w:sz w:val="22"/>
          <w:szCs w:val="22"/>
        </w:rPr>
        <w:t>.1.</w:t>
      </w:r>
      <w:r>
        <w:rPr>
          <w:rFonts w:ascii="Arial" w:hAnsi="Arial" w:cs="Arial"/>
          <w:b/>
          <w:color w:val="005BA6"/>
          <w:sz w:val="22"/>
          <w:szCs w:val="22"/>
        </w:rPr>
        <w:t>5</w:t>
      </w:r>
      <w:r w:rsidRPr="00C416E7">
        <w:rPr>
          <w:rFonts w:ascii="Arial" w:hAnsi="Arial" w:cs="Arial"/>
          <w:b/>
          <w:color w:val="005BA6"/>
          <w:sz w:val="22"/>
          <w:szCs w:val="22"/>
        </w:rPr>
        <w:t xml:space="preserve">.- </w:t>
      </w:r>
      <w:r>
        <w:rPr>
          <w:rFonts w:ascii="Arial" w:hAnsi="Arial" w:cs="Arial"/>
          <w:b/>
          <w:color w:val="005BA6"/>
          <w:sz w:val="22"/>
          <w:szCs w:val="22"/>
        </w:rPr>
        <w:t xml:space="preserve">Activos a valor razonable con cambios en </w:t>
      </w:r>
      <w:proofErr w:type="spellStart"/>
      <w:r>
        <w:rPr>
          <w:rFonts w:ascii="Arial" w:hAnsi="Arial" w:cs="Arial"/>
          <w:b/>
          <w:color w:val="005BA6"/>
          <w:sz w:val="22"/>
          <w:szCs w:val="22"/>
        </w:rPr>
        <w:t>PyG</w:t>
      </w:r>
      <w:proofErr w:type="spellEnd"/>
      <w:r>
        <w:rPr>
          <w:rFonts w:ascii="Arial" w:hAnsi="Arial" w:cs="Arial"/>
          <w:b/>
          <w:color w:val="005BA6"/>
          <w:sz w:val="22"/>
          <w:szCs w:val="22"/>
        </w:rPr>
        <w:t xml:space="preserve"> mantenidos para negociar</w:t>
      </w:r>
    </w:p>
    <w:p w14:paraId="793E9D83" w14:textId="77777777" w:rsidR="00257068" w:rsidRDefault="00257068" w:rsidP="00257068">
      <w:pPr>
        <w:spacing w:before="200" w:line="276" w:lineRule="auto"/>
        <w:jc w:val="both"/>
        <w:rPr>
          <w:rFonts w:ascii="Arial" w:hAnsi="Arial" w:cs="Arial"/>
        </w:rPr>
      </w:pPr>
      <w:r>
        <w:rPr>
          <w:rFonts w:ascii="Arial" w:hAnsi="Arial" w:cs="Arial"/>
        </w:rPr>
        <w:t>Los activos financieros clasificados en esta categoría se valoran inicialmente por su valor razonable, que, salvo evidencia en contrario, será el precio de transacción, que equivaldrá al valor razonable de la contraprestación entregada. Los costes de transacción que les sean directamente atribuibles se reconocerán en la cuenta de pérdidas y ganancias del ejercicio. Tratándose de instrumentos de patrimonio formará parte de la valoración inicial el importe de los derechos preferentes de suscripción y similares que, en su caso, se hubiesen adquirido.</w:t>
      </w:r>
    </w:p>
    <w:p w14:paraId="722DA2EC" w14:textId="77777777" w:rsidR="008A620B" w:rsidRDefault="00257068" w:rsidP="00257068">
      <w:pPr>
        <w:spacing w:before="200" w:line="276" w:lineRule="auto"/>
        <w:jc w:val="both"/>
        <w:rPr>
          <w:rFonts w:ascii="Arial" w:hAnsi="Arial" w:cs="Arial"/>
        </w:rPr>
      </w:pPr>
      <w:r>
        <w:rPr>
          <w:rFonts w:ascii="Arial" w:hAnsi="Arial" w:cs="Arial"/>
        </w:rPr>
        <w:t xml:space="preserve">Tras su valoración inicial, estos activos se valorarán por su valor razonable, sin deducir los costes de transacción en que se pudiera incurrir en su enajenación. Los cambios que se produzcan en el valor razonable se imputarán en la cuenta de pérdidas y ganancias. </w:t>
      </w:r>
    </w:p>
    <w:p w14:paraId="5BD02D25" w14:textId="77777777" w:rsidR="009B0B40" w:rsidRPr="00C416E7" w:rsidRDefault="009B0B40" w:rsidP="001E1C0D">
      <w:pPr>
        <w:spacing w:before="200" w:line="276" w:lineRule="auto"/>
        <w:jc w:val="both"/>
        <w:rPr>
          <w:rFonts w:ascii="Arial" w:hAnsi="Arial" w:cs="Arial"/>
          <w:b/>
          <w:color w:val="005BA6"/>
          <w:sz w:val="22"/>
          <w:szCs w:val="22"/>
        </w:rPr>
      </w:pPr>
      <w:r w:rsidRPr="00C416E7">
        <w:rPr>
          <w:rFonts w:ascii="Arial" w:hAnsi="Arial" w:cs="Arial"/>
          <w:b/>
          <w:color w:val="005BA6"/>
          <w:sz w:val="22"/>
          <w:szCs w:val="22"/>
        </w:rPr>
        <w:t>4.</w:t>
      </w:r>
      <w:r>
        <w:rPr>
          <w:rFonts w:ascii="Arial" w:hAnsi="Arial" w:cs="Arial"/>
          <w:b/>
          <w:color w:val="005BA6"/>
          <w:sz w:val="22"/>
          <w:szCs w:val="22"/>
        </w:rPr>
        <w:t>4</w:t>
      </w:r>
      <w:r w:rsidRPr="00C416E7">
        <w:rPr>
          <w:rFonts w:ascii="Arial" w:hAnsi="Arial" w:cs="Arial"/>
          <w:b/>
          <w:color w:val="005BA6"/>
          <w:sz w:val="22"/>
          <w:szCs w:val="22"/>
        </w:rPr>
        <w:t>.1.</w:t>
      </w:r>
      <w:r w:rsidR="00257068">
        <w:rPr>
          <w:rFonts w:ascii="Arial" w:hAnsi="Arial" w:cs="Arial"/>
          <w:b/>
          <w:color w:val="005BA6"/>
          <w:sz w:val="22"/>
          <w:szCs w:val="22"/>
        </w:rPr>
        <w:t>6</w:t>
      </w:r>
      <w:r w:rsidRPr="00C416E7">
        <w:rPr>
          <w:rFonts w:ascii="Arial" w:hAnsi="Arial" w:cs="Arial"/>
          <w:b/>
          <w:color w:val="005BA6"/>
          <w:sz w:val="22"/>
          <w:szCs w:val="22"/>
        </w:rPr>
        <w:t xml:space="preserve">.- </w:t>
      </w:r>
      <w:r>
        <w:rPr>
          <w:rFonts w:ascii="Arial" w:hAnsi="Arial" w:cs="Arial"/>
          <w:b/>
          <w:color w:val="005BA6"/>
          <w:sz w:val="22"/>
          <w:szCs w:val="22"/>
        </w:rPr>
        <w:t>Deterioro del valor de los activos financieros</w:t>
      </w:r>
    </w:p>
    <w:p w14:paraId="5C60D68E" w14:textId="77777777" w:rsidR="009B0B40" w:rsidRPr="00B8611E"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El valor en libros de los activos financieros se corrige por la Sociedad con cargo a la cuenta de pérdidas y ganancias cuando existe una evidencia objetiva de que se ha producido una pérdida por deterioro.</w:t>
      </w:r>
    </w:p>
    <w:p w14:paraId="0A13F7EE"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Para determinar las pérdidas por deterioro de los activos financieros, la Sociedad evalúa las posibles pérdidas tanto de los activos individuales, como de los grupos de activos con características de riesgo similares.</w:t>
      </w:r>
    </w:p>
    <w:p w14:paraId="3B1B1FFB" w14:textId="77777777" w:rsidR="009B0B40" w:rsidRPr="00AB7C5B" w:rsidRDefault="009B0B40" w:rsidP="001E1C0D">
      <w:pPr>
        <w:spacing w:before="200" w:line="276" w:lineRule="auto"/>
        <w:jc w:val="both"/>
        <w:rPr>
          <w:rFonts w:ascii="Arial" w:hAnsi="Arial" w:cs="Arial"/>
          <w:i/>
          <w:color w:val="005BA6"/>
        </w:rPr>
      </w:pPr>
      <w:r w:rsidRPr="00AB7C5B">
        <w:rPr>
          <w:rFonts w:ascii="Arial" w:hAnsi="Arial" w:cs="Arial"/>
          <w:i/>
          <w:color w:val="005BA6"/>
        </w:rPr>
        <w:t>Instrumentos de deuda</w:t>
      </w:r>
    </w:p>
    <w:p w14:paraId="1AA6B4B5"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Existe una evidencia objetiva de deterioro en los instrumentos de deuda, entendidos como las cuentas a cobrar, los créditos y los valores representativos de deuda, cuando después de su reconocimiento inicial ocurre un evento que supone un impacto negativo en sus flujos de efectivo estimados futuros.</w:t>
      </w:r>
    </w:p>
    <w:p w14:paraId="086F330A"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La Sociedad considera como activos deteriorados (activos dudosos) aquellos instrumentos de deuda para los que existen evidencias objetivas de deterioro, que hacen referencia fundamentalmente a la existencia de impagados, incumplimientos, refinanciaciones y a la existencia de datos que evidencien la posibilidad de no recuperar la totalidad de los flujos futuros pactados o que se produzca un retraso en su cobro.</w:t>
      </w:r>
    </w:p>
    <w:p w14:paraId="2D05AB59"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 xml:space="preserve">En el caso de los activos financieros valorados a su coste amortizado, el importe de las pérdidas por deterioro es igual a la diferencia entre su valor en libros y el valor actual de los flujos de efectivo futuros que se estima van a generar, descontados al tipo de interés efectivo existente en el momento del reconocimiento inicial del activo. Para los activos financieros a tipo de interés variable se utiliza el tipo de interés efectivo a la fecha de cierre de las cuentas anuales. Para los deudores comerciales y otras cuentas a cobrar, la Sociedad considera como activos dudosos aquellos saldos que tienen partidas vencidas a más de seis meses para las que no existe seguridad de su cobro y los saldos de empresas que han solicitado un concurso de acreedores. La Sociedad considera para los instrumentos cotizados el valor de mercado de los mismos como sustituto del valor actual de los flujos de efectivo futuro, siempre que sea suficientemente fiable. </w:t>
      </w:r>
    </w:p>
    <w:p w14:paraId="4D8B4F52"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Para los “Activos financieros disponibles para la venta”, cuando existen evidencias objetivas de que un descenso en el valor razonable se debe a su deterioro, las minusvalías latentes reconocidas como “Ajustes por cambios de valor” en el patrimonio neto se reconocen en la cuenta de pérdidas y ganancias.</w:t>
      </w:r>
    </w:p>
    <w:p w14:paraId="746EDC65" w14:textId="77777777" w:rsidR="009B0B40" w:rsidRPr="00B8611E" w:rsidRDefault="009B0B40" w:rsidP="001E1C0D">
      <w:pPr>
        <w:spacing w:before="200" w:line="276" w:lineRule="auto"/>
        <w:jc w:val="both"/>
        <w:rPr>
          <w:rFonts w:ascii="Arial" w:hAnsi="Arial" w:cs="Arial"/>
          <w:color w:val="000000"/>
        </w:rPr>
      </w:pPr>
      <w:r w:rsidRPr="00B8611E">
        <w:rPr>
          <w:rFonts w:ascii="Arial" w:hAnsi="Arial" w:cs="Arial"/>
          <w:color w:val="000000"/>
        </w:rPr>
        <w:t>La reversión del deterioro se reconoce como un ingreso en la cuenta de pérdidas y ganancias y tiene como límite el valor en libros del activo financiero que estaría registrado en la fecha de reversión si no se hubiese registrado el deterioro de valor.</w:t>
      </w:r>
    </w:p>
    <w:p w14:paraId="5C0A0633" w14:textId="77777777" w:rsidR="009B0B40" w:rsidRPr="00AB7C5B" w:rsidRDefault="009B0B40" w:rsidP="001E1C0D">
      <w:pPr>
        <w:spacing w:before="200" w:line="276" w:lineRule="auto"/>
        <w:jc w:val="both"/>
        <w:rPr>
          <w:rFonts w:ascii="Arial" w:hAnsi="Arial" w:cs="Arial"/>
          <w:i/>
          <w:color w:val="005BA6"/>
        </w:rPr>
      </w:pPr>
      <w:r w:rsidRPr="00AB7C5B">
        <w:rPr>
          <w:rFonts w:ascii="Arial" w:hAnsi="Arial" w:cs="Arial"/>
          <w:i/>
          <w:color w:val="005BA6"/>
        </w:rPr>
        <w:t>Instrumentos de patrimonio</w:t>
      </w:r>
    </w:p>
    <w:p w14:paraId="079CC7F2" w14:textId="77777777" w:rsidR="009B0B40" w:rsidRPr="00B8611E" w:rsidRDefault="009B0B40" w:rsidP="001E1C0D">
      <w:pPr>
        <w:spacing w:before="200" w:line="276" w:lineRule="auto"/>
        <w:jc w:val="both"/>
        <w:rPr>
          <w:rFonts w:ascii="Arial" w:hAnsi="Arial" w:cs="Arial"/>
        </w:rPr>
      </w:pPr>
      <w:r w:rsidRPr="00B8611E">
        <w:rPr>
          <w:rFonts w:ascii="Arial" w:hAnsi="Arial" w:cs="Arial"/>
        </w:rPr>
        <w:t xml:space="preserve">Existe una evidencia objetiva de que los instrumentos de patrimonio se han deteriorado cuando después de su reconocimiento inicial ocurre un evento o una combinación de ellos que suponga que no se va a poder recuperar su valor en libros debido a un descenso prolongado o significativo en su valor razonable. </w:t>
      </w:r>
    </w:p>
    <w:p w14:paraId="24AF343B" w14:textId="77777777" w:rsidR="009B0B40" w:rsidRPr="00B8611E" w:rsidRDefault="009B0B40" w:rsidP="001E1C0D">
      <w:pPr>
        <w:spacing w:before="200" w:line="276" w:lineRule="auto"/>
        <w:jc w:val="both"/>
        <w:rPr>
          <w:rFonts w:ascii="Arial" w:hAnsi="Arial" w:cs="Arial"/>
        </w:rPr>
      </w:pPr>
      <w:r w:rsidRPr="00B8611E">
        <w:rPr>
          <w:rFonts w:ascii="Arial" w:hAnsi="Arial" w:cs="Arial"/>
        </w:rPr>
        <w:t xml:space="preserve">En el caso de instrumentos de patrimonio valorados al coste, incluidos en la categoría de “Activos financieros disponibles para la venta”, y de las inversiones en el patrimonio de empresas del grupo, multigrupo y asociadas, la pérdida por deterioro se calcula como la diferencia entre su valor en libros y el importe recuperable, que es el mayor importe entre su valor razonable menos los costes de venta y el valor actual de los flujos de efectivo futuros derivados de la inversión. Salvo mejor evidencia, en la estimación del deterioro se toma en consideración el patrimonio neto de la entidad participada, corregido por las plusvalías tácitas existentes en la fecha de la valoración. </w:t>
      </w:r>
    </w:p>
    <w:p w14:paraId="70738071" w14:textId="77777777" w:rsidR="009B0B40" w:rsidRPr="00B8611E" w:rsidRDefault="009B0B40" w:rsidP="001E1C0D">
      <w:pPr>
        <w:spacing w:before="200" w:line="276" w:lineRule="auto"/>
        <w:jc w:val="both"/>
        <w:rPr>
          <w:rFonts w:ascii="Arial" w:hAnsi="Arial" w:cs="Arial"/>
        </w:rPr>
      </w:pPr>
      <w:r w:rsidRPr="00B8611E">
        <w:rPr>
          <w:rFonts w:ascii="Arial" w:hAnsi="Arial" w:cs="Arial"/>
        </w:rPr>
        <w:t>La reversión de las correcciones valorativas por deterioro se registra en la cuenta de pérdidas y ganancias, con el límite del valor en libros que tendría la inversión en la fecha de reversión si no se hubiera registrado el deterioro de valor, para las inversiones en el patrimonio de empresas del grupo, multigrupo y asociadas; mientras que para los activos financieros disponibles para la venta que se valoran al coste no es posible la reversión de las correcciones valorativas registradas en ejercicios anteriores.</w:t>
      </w:r>
    </w:p>
    <w:p w14:paraId="1A13540F" w14:textId="77777777" w:rsidR="009B0B40" w:rsidRPr="00C416E7" w:rsidRDefault="009B0B40" w:rsidP="001E1C0D">
      <w:pPr>
        <w:spacing w:before="200" w:line="276" w:lineRule="auto"/>
        <w:jc w:val="both"/>
        <w:rPr>
          <w:rFonts w:ascii="Arial Narrow" w:hAnsi="Arial Narrow"/>
          <w:b/>
          <w:color w:val="005BA6"/>
          <w:sz w:val="24"/>
          <w:szCs w:val="24"/>
        </w:rPr>
      </w:pPr>
      <w:r w:rsidRPr="00C416E7">
        <w:rPr>
          <w:rFonts w:ascii="Arial" w:hAnsi="Arial" w:cs="Arial"/>
          <w:b/>
          <w:color w:val="005BA6"/>
          <w:sz w:val="24"/>
          <w:szCs w:val="24"/>
        </w:rPr>
        <w:t>4.</w:t>
      </w:r>
      <w:r>
        <w:rPr>
          <w:rFonts w:ascii="Arial" w:hAnsi="Arial" w:cs="Arial"/>
          <w:b/>
          <w:color w:val="005BA6"/>
          <w:sz w:val="24"/>
          <w:szCs w:val="24"/>
        </w:rPr>
        <w:t>4</w:t>
      </w:r>
      <w:r w:rsidRPr="00C416E7">
        <w:rPr>
          <w:rFonts w:ascii="Arial" w:hAnsi="Arial" w:cs="Arial"/>
          <w:b/>
          <w:color w:val="005BA6"/>
          <w:sz w:val="24"/>
          <w:szCs w:val="24"/>
        </w:rPr>
        <w:t>.2.- Pasivos Financieros</w:t>
      </w:r>
    </w:p>
    <w:p w14:paraId="728C713A" w14:textId="77777777" w:rsidR="009B0B40" w:rsidRDefault="009B0B40" w:rsidP="001E1C0D">
      <w:pPr>
        <w:spacing w:before="200" w:line="276" w:lineRule="auto"/>
        <w:jc w:val="both"/>
        <w:rPr>
          <w:rFonts w:ascii="Arial" w:hAnsi="Arial" w:cs="Arial"/>
        </w:rPr>
      </w:pPr>
      <w:r w:rsidRPr="000D5B06">
        <w:rPr>
          <w:rFonts w:ascii="Arial" w:hAnsi="Arial" w:cs="Arial"/>
        </w:rPr>
        <w:t xml:space="preserve">La empresa clasifica sus </w:t>
      </w:r>
      <w:r>
        <w:rPr>
          <w:rFonts w:ascii="Arial" w:hAnsi="Arial" w:cs="Arial"/>
        </w:rPr>
        <w:t>pasivos</w:t>
      </w:r>
      <w:r w:rsidRPr="000D5B06">
        <w:rPr>
          <w:rFonts w:ascii="Arial" w:hAnsi="Arial" w:cs="Arial"/>
        </w:rPr>
        <w:t xml:space="preserve"> financieros, a e</w:t>
      </w:r>
      <w:r>
        <w:rPr>
          <w:rFonts w:ascii="Arial" w:hAnsi="Arial" w:cs="Arial"/>
        </w:rPr>
        <w:t>fectos de su valoración, en la</w:t>
      </w:r>
      <w:r w:rsidRPr="000D5B06">
        <w:rPr>
          <w:rFonts w:ascii="Arial" w:hAnsi="Arial" w:cs="Arial"/>
        </w:rPr>
        <w:t xml:space="preserve"> </w:t>
      </w:r>
      <w:r>
        <w:rPr>
          <w:rFonts w:ascii="Arial" w:hAnsi="Arial" w:cs="Arial"/>
        </w:rPr>
        <w:t>categoría de “Débitos y partidas a pagar”.</w:t>
      </w:r>
      <w:r w:rsidRPr="000D5B06">
        <w:rPr>
          <w:rFonts w:ascii="Arial" w:hAnsi="Arial" w:cs="Arial"/>
        </w:rPr>
        <w:t xml:space="preserve"> </w:t>
      </w:r>
      <w:r>
        <w:rPr>
          <w:rFonts w:ascii="Arial" w:hAnsi="Arial" w:cs="Arial"/>
        </w:rPr>
        <w:t>En su reconocimiento inicial en el balance, se registran por su valor razonable, que, salvo evidencia en contrario, es el precio de la transacción.</w:t>
      </w:r>
    </w:p>
    <w:p w14:paraId="10E0BD9A" w14:textId="77777777" w:rsidR="009B0B40" w:rsidRPr="000D5B06" w:rsidRDefault="009B0B40" w:rsidP="001E1C0D">
      <w:pPr>
        <w:spacing w:before="200" w:line="276" w:lineRule="auto"/>
        <w:jc w:val="both"/>
        <w:rPr>
          <w:rFonts w:ascii="Arial" w:hAnsi="Arial" w:cs="Arial"/>
        </w:rPr>
      </w:pPr>
      <w:r>
        <w:rPr>
          <w:rFonts w:ascii="Arial" w:hAnsi="Arial" w:cs="Arial"/>
        </w:rPr>
        <w:t>Tras su reconocimiento inicial, estos pasivos financieros se valoran por su coste amortizado. Los intereses devengados se contabilizan en la cuenta de pérdidas y ganancias.</w:t>
      </w:r>
    </w:p>
    <w:p w14:paraId="18D6766B" w14:textId="77777777" w:rsidR="009B0B40" w:rsidRPr="007123CB" w:rsidRDefault="009B0B40" w:rsidP="001E1C0D">
      <w:pPr>
        <w:spacing w:before="200" w:line="276" w:lineRule="auto"/>
        <w:jc w:val="both"/>
        <w:rPr>
          <w:rFonts w:ascii="Arial" w:hAnsi="Arial" w:cs="Arial"/>
        </w:rPr>
      </w:pPr>
      <w:r w:rsidRPr="007123CB">
        <w:rPr>
          <w:rFonts w:ascii="Arial" w:hAnsi="Arial" w:cs="Arial"/>
        </w:rPr>
        <w:t>La empresa tiene recibidos del Gobierno de Navarra préstamos a largo plazo (20</w:t>
      </w:r>
      <w:r w:rsidRPr="007123CB">
        <w:rPr>
          <w:rFonts w:ascii="Arial" w:hAnsi="Arial" w:cs="Arial"/>
        </w:rPr>
        <w:noBreakHyphen/>
        <w:t xml:space="preserve">25 años) para la financiación de regadíos. Dichos préstamos han sido concedidos a Regantes o Ayuntamientos promotores de la transformación. La parte de estas deudas con vencimiento superior al año se incluyen dentro de la partida "Deudas con empresas del grupo y asociadas a largo plazo" y tanto la parte con vencimiento inferior al año como los intereses devengados a 31 de diciembre no vencidos, se incluyen en la misma partida dentro del epígrafe “Deudas con empresas del grupo y asociadas a corto plazo”. </w:t>
      </w:r>
    </w:p>
    <w:p w14:paraId="7689A68F" w14:textId="77777777" w:rsidR="009B0B40" w:rsidRPr="007123CB" w:rsidRDefault="009B0B40" w:rsidP="001E1C0D">
      <w:pPr>
        <w:spacing w:before="200" w:line="276" w:lineRule="auto"/>
        <w:jc w:val="both"/>
        <w:rPr>
          <w:rFonts w:ascii="Arial" w:hAnsi="Arial" w:cs="Arial"/>
        </w:rPr>
      </w:pPr>
      <w:r w:rsidRPr="007123CB">
        <w:rPr>
          <w:rFonts w:ascii="Arial" w:hAnsi="Arial" w:cs="Arial"/>
        </w:rPr>
        <w:t>Los acreedores comerciales tienen vencimiento no superior a un año y figuran en el Balance por su valor nominal dado que el efecto de no actualizar los flujos de efectivo no es significativo.</w:t>
      </w:r>
    </w:p>
    <w:p w14:paraId="19C7A4ED" w14:textId="77777777" w:rsidR="009B0B40" w:rsidRPr="00AB7C5B" w:rsidRDefault="009B0B40" w:rsidP="001E1C0D">
      <w:pPr>
        <w:widowControl w:val="0"/>
        <w:autoSpaceDE w:val="0"/>
        <w:autoSpaceDN w:val="0"/>
        <w:adjustRightInd w:val="0"/>
        <w:spacing w:before="200" w:line="276" w:lineRule="auto"/>
        <w:jc w:val="both"/>
        <w:rPr>
          <w:rFonts w:ascii="Arial" w:hAnsi="Arial" w:cs="Arial"/>
          <w:color w:val="005BA6"/>
        </w:rPr>
      </w:pPr>
      <w:r w:rsidRPr="00AB7C5B">
        <w:rPr>
          <w:rFonts w:ascii="Arial" w:hAnsi="Arial" w:cs="Arial"/>
          <w:color w:val="005BA6"/>
        </w:rPr>
        <w:t>Cancelación</w:t>
      </w:r>
    </w:p>
    <w:p w14:paraId="1B0EDE02" w14:textId="77777777" w:rsidR="009B0B40" w:rsidRPr="00B8611E"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 xml:space="preserve">La Sociedad da de baja un pasivo financiero cuando la obligación se ha extinguido. </w:t>
      </w:r>
    </w:p>
    <w:p w14:paraId="2467B843" w14:textId="77777777" w:rsidR="009B0B40" w:rsidRPr="00B8611E"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Cuando se produce un intercambio de instrumentos de deuda con un prestamista, siempre que éstos tengan condiciones sustancialmente diferentes, se registra la baja del pasivo financiero original y se reconoce el nuevo pasivo financiero que surge. De la misma forma se registra una modificación sustancial de las condiciones actuales de un pasivo financiero.</w:t>
      </w:r>
    </w:p>
    <w:p w14:paraId="3A14AB65" w14:textId="77777777" w:rsidR="009B0B40" w:rsidRPr="00B8611E"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La diferencia entre el valor en libros del pasivo financiero, o de la parte del mismo que se haya dado de baja, y la contraprestación pagada, incluidos los costes de transacción atribuibles, y en la que se recoge asimismo cualquier activo cedido diferente del efectivo o pasivo asumido, se reconoce en la cuenta de pérdidas y ganancias del ejercicio en que tenga lugar.</w:t>
      </w:r>
    </w:p>
    <w:p w14:paraId="46001F5A" w14:textId="77777777" w:rsidR="009B0B40" w:rsidRPr="00B8611E"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Cuando se produce un intercambio de instrumentos de deuda que no tengan condiciones sustancialmente diferentes, el pasivo financiero original no se da de baja del balance, registrando el importe de las comisiones pagadas como un ajuste de su valor contable. El nuevo coste amortizado del pasivo financiero se determina aplicando el tipo de interés efectivo, que es aquel que iguala el valor en libros del pasivo financiero en la fecha de modificación con los flujos de efectivo a pagar según las nuevas condiciones.</w:t>
      </w:r>
    </w:p>
    <w:p w14:paraId="0DBF9B7C" w14:textId="77777777" w:rsidR="009B0B40" w:rsidRDefault="009B0B40" w:rsidP="001E1C0D">
      <w:pPr>
        <w:widowControl w:val="0"/>
        <w:autoSpaceDE w:val="0"/>
        <w:autoSpaceDN w:val="0"/>
        <w:adjustRightInd w:val="0"/>
        <w:spacing w:before="200" w:line="276" w:lineRule="auto"/>
        <w:jc w:val="both"/>
        <w:rPr>
          <w:rFonts w:ascii="Arial" w:hAnsi="Arial" w:cs="Arial"/>
          <w:color w:val="000000"/>
        </w:rPr>
      </w:pPr>
      <w:r w:rsidRPr="00B8611E">
        <w:rPr>
          <w:rFonts w:ascii="Arial" w:hAnsi="Arial" w:cs="Arial"/>
          <w:color w:val="000000"/>
        </w:rPr>
        <w:t>A estos efectos, se considera que las condiciones de los contratos son sustancialmente diferentes cuando el prestamista es el mismo que otorgó el préstamo inicial y el valor actual de los flujos de efectivo del nuevo pasivo financiero, incluyendo las comisiones netas, difiere al menos en un 10% del valor actual de los flujos de efectivo pendientes de pago del pasivo financiero original, actualizados ambos al tipo de interés efectivo del pasivo original.</w:t>
      </w:r>
    </w:p>
    <w:p w14:paraId="0ABCAB15" w14:textId="77777777" w:rsidR="000A36EF" w:rsidRDefault="000A36EF">
      <w:pPr>
        <w:rPr>
          <w:rFonts w:ascii="EurostileTMed" w:hAnsi="EurostileTMed"/>
          <w:b/>
          <w:color w:val="005BA6"/>
          <w:sz w:val="28"/>
        </w:rPr>
      </w:pPr>
      <w:r>
        <w:br w:type="page"/>
      </w:r>
    </w:p>
    <w:p w14:paraId="02FBFF9A" w14:textId="77777777" w:rsidR="009B0B40" w:rsidRDefault="009B0B40" w:rsidP="001E1C0D">
      <w:pPr>
        <w:pStyle w:val="Ttulo2"/>
        <w:spacing w:before="200" w:line="276" w:lineRule="auto"/>
      </w:pPr>
      <w:r>
        <w:t>4.5.</w:t>
      </w:r>
      <w:r w:rsidR="000F7736">
        <w:t xml:space="preserve"> </w:t>
      </w:r>
      <w:r>
        <w:tab/>
        <w:t>Existencias</w:t>
      </w:r>
    </w:p>
    <w:p w14:paraId="1889688D" w14:textId="77777777" w:rsidR="009B0B40" w:rsidRDefault="009B0B40" w:rsidP="001E1C0D">
      <w:pPr>
        <w:spacing w:before="200" w:line="276" w:lineRule="auto"/>
        <w:jc w:val="both"/>
        <w:rPr>
          <w:rFonts w:ascii="Arial" w:hAnsi="Arial" w:cs="Arial"/>
        </w:rPr>
      </w:pPr>
      <w:r>
        <w:rPr>
          <w:rFonts w:ascii="Arial" w:hAnsi="Arial" w:cs="Arial"/>
        </w:rPr>
        <w:t xml:space="preserve">Los bienes comprendidos en las existencias se valoran inicialmente por su coste. </w:t>
      </w:r>
    </w:p>
    <w:p w14:paraId="6A7CA624" w14:textId="77777777" w:rsidR="009B0B40" w:rsidRDefault="009B0B40" w:rsidP="001E1C0D">
      <w:pPr>
        <w:spacing w:before="200" w:line="276" w:lineRule="auto"/>
        <w:jc w:val="both"/>
        <w:rPr>
          <w:rFonts w:ascii="Arial" w:hAnsi="Arial" w:cs="Arial"/>
        </w:rPr>
      </w:pPr>
      <w:r>
        <w:rPr>
          <w:rFonts w:ascii="Arial" w:hAnsi="Arial" w:cs="Arial"/>
        </w:rPr>
        <w:t xml:space="preserve">Tras el reconocimiento inicial, la Sociedad valora sus existencias de ganado con criterios técnicos, en función de las características de los animales y de sus producciones, aplicándole la minoración correspondiente en previsión de bajas, pérdidas, etc. La Sociedad refleja estas correcciones valorativas como un gasto en la cuenta de pérdidas y ganancias. </w:t>
      </w:r>
    </w:p>
    <w:p w14:paraId="4AFE9768" w14:textId="77777777" w:rsidR="009B0B40" w:rsidRDefault="009B0B40" w:rsidP="001E1C0D">
      <w:pPr>
        <w:spacing w:before="200" w:line="276" w:lineRule="auto"/>
        <w:jc w:val="both"/>
        <w:rPr>
          <w:rFonts w:ascii="Arial" w:hAnsi="Arial" w:cs="Arial"/>
        </w:rPr>
      </w:pPr>
      <w:r>
        <w:rPr>
          <w:rFonts w:ascii="Arial" w:hAnsi="Arial" w:cs="Arial"/>
        </w:rPr>
        <w:t xml:space="preserve">Si las circunstancias que causaron la corrección de valor de las existencias </w:t>
      </w:r>
      <w:r w:rsidR="0019396D">
        <w:rPr>
          <w:rFonts w:ascii="Arial" w:hAnsi="Arial" w:cs="Arial"/>
        </w:rPr>
        <w:t>dejan</w:t>
      </w:r>
      <w:r>
        <w:rPr>
          <w:rFonts w:ascii="Arial" w:hAnsi="Arial" w:cs="Arial"/>
        </w:rPr>
        <w:t xml:space="preserve"> de existir, la Sociedad revisa el importe de la corrección reconociéndolo como un ingreso en la cuenta de pérdidas y ganancias.</w:t>
      </w:r>
    </w:p>
    <w:p w14:paraId="240352F0" w14:textId="77777777" w:rsidR="009B0B40" w:rsidRPr="00A40E51" w:rsidRDefault="009B0B40" w:rsidP="001E1C0D">
      <w:pPr>
        <w:pStyle w:val="Ttulo2"/>
        <w:spacing w:before="200" w:line="276" w:lineRule="auto"/>
      </w:pPr>
      <w:r>
        <w:t>4.6.</w:t>
      </w:r>
      <w:r w:rsidRPr="00A40E51">
        <w:t xml:space="preserve"> Efectivo y otros activos líquidos equivalentes</w:t>
      </w:r>
    </w:p>
    <w:p w14:paraId="2E919914" w14:textId="77777777" w:rsidR="009B0B40" w:rsidRPr="00A40E51" w:rsidRDefault="009B0B40" w:rsidP="001E1C0D">
      <w:pPr>
        <w:widowControl w:val="0"/>
        <w:autoSpaceDE w:val="0"/>
        <w:autoSpaceDN w:val="0"/>
        <w:adjustRightInd w:val="0"/>
        <w:spacing w:before="200" w:line="276" w:lineRule="auto"/>
        <w:jc w:val="both"/>
        <w:rPr>
          <w:rFonts w:ascii="Arial" w:hAnsi="Arial" w:cs="Arial"/>
          <w:color w:val="000000"/>
        </w:rPr>
      </w:pPr>
      <w:r w:rsidRPr="00A40E51">
        <w:rPr>
          <w:rFonts w:ascii="Arial" w:hAnsi="Arial" w:cs="Arial"/>
          <w:color w:val="000000"/>
        </w:rPr>
        <w:t>Este epígrafe incluye el efectivo en caja, las cuentas corrientes bancarias y los depósitos y adquisiciones temporales de activos que cumplen con todos los siguientes requisitos:</w:t>
      </w:r>
    </w:p>
    <w:p w14:paraId="22AA7094" w14:textId="77777777" w:rsidR="009B0B40" w:rsidRDefault="009B0B40" w:rsidP="001E1C0D">
      <w:pPr>
        <w:widowControl w:val="0"/>
        <w:numPr>
          <w:ilvl w:val="0"/>
          <w:numId w:val="33"/>
        </w:numPr>
        <w:autoSpaceDE w:val="0"/>
        <w:autoSpaceDN w:val="0"/>
        <w:adjustRightInd w:val="0"/>
        <w:spacing w:before="200" w:line="276" w:lineRule="auto"/>
        <w:jc w:val="both"/>
        <w:rPr>
          <w:rFonts w:ascii="Arial" w:hAnsi="Arial" w:cs="Arial"/>
          <w:color w:val="000000"/>
        </w:rPr>
      </w:pPr>
      <w:r w:rsidRPr="00A40E51">
        <w:rPr>
          <w:rFonts w:ascii="Arial" w:hAnsi="Arial" w:cs="Arial"/>
        </w:rPr>
        <w:t>S</w:t>
      </w:r>
      <w:r w:rsidRPr="00A40E51">
        <w:rPr>
          <w:rFonts w:ascii="Arial" w:hAnsi="Arial" w:cs="Arial"/>
          <w:color w:val="000000"/>
        </w:rPr>
        <w:t xml:space="preserve">on convertibles en efectivo. </w:t>
      </w:r>
    </w:p>
    <w:p w14:paraId="7FADAF36" w14:textId="77777777" w:rsidR="009B0B40" w:rsidRDefault="009B0B40" w:rsidP="001E1C0D">
      <w:pPr>
        <w:widowControl w:val="0"/>
        <w:numPr>
          <w:ilvl w:val="0"/>
          <w:numId w:val="33"/>
        </w:numPr>
        <w:autoSpaceDE w:val="0"/>
        <w:autoSpaceDN w:val="0"/>
        <w:adjustRightInd w:val="0"/>
        <w:spacing w:before="200" w:line="276" w:lineRule="auto"/>
        <w:jc w:val="both"/>
        <w:rPr>
          <w:rFonts w:ascii="Arial" w:hAnsi="Arial" w:cs="Arial"/>
          <w:color w:val="000000"/>
        </w:rPr>
      </w:pPr>
      <w:r w:rsidRPr="00A40E51">
        <w:rPr>
          <w:rFonts w:ascii="Arial" w:hAnsi="Arial" w:cs="Arial"/>
          <w:color w:val="000000"/>
        </w:rPr>
        <w:t>En el momento de su adquisición su vencimiento no era superior a tres meses.</w:t>
      </w:r>
    </w:p>
    <w:p w14:paraId="45279577" w14:textId="77777777" w:rsidR="009B0B40" w:rsidRDefault="009B0B40" w:rsidP="001E1C0D">
      <w:pPr>
        <w:widowControl w:val="0"/>
        <w:numPr>
          <w:ilvl w:val="0"/>
          <w:numId w:val="33"/>
        </w:numPr>
        <w:autoSpaceDE w:val="0"/>
        <w:autoSpaceDN w:val="0"/>
        <w:adjustRightInd w:val="0"/>
        <w:spacing w:before="200" w:line="276" w:lineRule="auto"/>
        <w:jc w:val="both"/>
        <w:rPr>
          <w:rFonts w:ascii="Arial" w:hAnsi="Arial" w:cs="Arial"/>
          <w:color w:val="000000"/>
        </w:rPr>
      </w:pPr>
      <w:r w:rsidRPr="00A40E51">
        <w:rPr>
          <w:rFonts w:ascii="Arial" w:hAnsi="Arial" w:cs="Arial"/>
        </w:rPr>
        <w:t>N</w:t>
      </w:r>
      <w:r w:rsidRPr="00A40E51">
        <w:rPr>
          <w:rFonts w:ascii="Arial" w:hAnsi="Arial" w:cs="Arial"/>
          <w:color w:val="000000"/>
        </w:rPr>
        <w:t>o están sujetos a un riesgo significativo de cambio de valor.</w:t>
      </w:r>
    </w:p>
    <w:p w14:paraId="1A9DD0F9" w14:textId="77777777" w:rsidR="009B0B40" w:rsidRPr="00A40E51" w:rsidRDefault="009B0B40" w:rsidP="001E1C0D">
      <w:pPr>
        <w:widowControl w:val="0"/>
        <w:numPr>
          <w:ilvl w:val="0"/>
          <w:numId w:val="33"/>
        </w:numPr>
        <w:autoSpaceDE w:val="0"/>
        <w:autoSpaceDN w:val="0"/>
        <w:adjustRightInd w:val="0"/>
        <w:spacing w:before="200" w:line="276" w:lineRule="auto"/>
        <w:jc w:val="both"/>
        <w:rPr>
          <w:rFonts w:ascii="Arial" w:hAnsi="Arial" w:cs="Arial"/>
          <w:color w:val="000000"/>
        </w:rPr>
      </w:pPr>
      <w:r w:rsidRPr="00A40E51">
        <w:rPr>
          <w:rFonts w:ascii="Arial" w:hAnsi="Arial" w:cs="Arial"/>
        </w:rPr>
        <w:t>F</w:t>
      </w:r>
      <w:r w:rsidRPr="00A40E51">
        <w:rPr>
          <w:rFonts w:ascii="Arial" w:hAnsi="Arial" w:cs="Arial"/>
          <w:color w:val="000000"/>
        </w:rPr>
        <w:t>orman parte de la política de gestión normal de tesorería de la Sociedad.</w:t>
      </w:r>
    </w:p>
    <w:p w14:paraId="336692A9" w14:textId="77777777" w:rsidR="009B0B40" w:rsidRPr="00A40E51" w:rsidRDefault="009B0B40" w:rsidP="001E1C0D">
      <w:pPr>
        <w:widowControl w:val="0"/>
        <w:autoSpaceDE w:val="0"/>
        <w:autoSpaceDN w:val="0"/>
        <w:adjustRightInd w:val="0"/>
        <w:spacing w:before="200" w:line="276" w:lineRule="auto"/>
        <w:jc w:val="both"/>
        <w:rPr>
          <w:rFonts w:ascii="Arial" w:hAnsi="Arial" w:cs="Arial"/>
          <w:color w:val="000000"/>
        </w:rPr>
      </w:pPr>
      <w:r w:rsidRPr="00A40E51">
        <w:rPr>
          <w:rFonts w:ascii="Arial" w:hAnsi="Arial" w:cs="Arial"/>
          <w:color w:val="000000"/>
        </w:rPr>
        <w:t>A efectos del estado de flujos de efectivo se incluyen como menos efectivo y otros activos líquidos equivalentes los descubiertos ocasionales que forman parte de la gestión de efectivo de la Sociedad.</w:t>
      </w:r>
    </w:p>
    <w:p w14:paraId="01152BB3" w14:textId="77777777" w:rsidR="009B0B40" w:rsidRPr="0002614B" w:rsidRDefault="009B0B40" w:rsidP="001E1C0D">
      <w:pPr>
        <w:pStyle w:val="Ttulo2"/>
        <w:spacing w:before="200" w:line="276" w:lineRule="auto"/>
      </w:pPr>
      <w:r>
        <w:t>4.7.</w:t>
      </w:r>
      <w:r w:rsidR="000F7736">
        <w:t xml:space="preserve"> </w:t>
      </w:r>
      <w:r>
        <w:tab/>
      </w:r>
      <w:r w:rsidRPr="00580667">
        <w:t>Impuesto sobre beneficios</w:t>
      </w:r>
    </w:p>
    <w:p w14:paraId="243A1E63" w14:textId="77777777" w:rsidR="009B0B40" w:rsidRDefault="009B0B40" w:rsidP="001E1C0D">
      <w:pPr>
        <w:spacing w:before="200" w:line="276" w:lineRule="auto"/>
        <w:jc w:val="both"/>
        <w:rPr>
          <w:rFonts w:ascii="Arial" w:hAnsi="Arial" w:cs="Arial"/>
        </w:rPr>
      </w:pPr>
      <w:r w:rsidRPr="00A95BF6">
        <w:rPr>
          <w:rFonts w:ascii="Arial" w:hAnsi="Arial" w:cs="Arial"/>
        </w:rPr>
        <w:t>Se calcula en función del resultado del ejercicio, teniendo en cuenta tanto las diferencias “temporarias” como las “permanentes” entre el resultado fiscal (base imponible) y el resultado contable antes de impuestos.</w:t>
      </w:r>
    </w:p>
    <w:p w14:paraId="64AC83D2" w14:textId="77777777" w:rsidR="009B0B40" w:rsidRDefault="009B0B40" w:rsidP="001E1C0D">
      <w:pPr>
        <w:spacing w:before="200" w:line="276" w:lineRule="auto"/>
        <w:jc w:val="both"/>
        <w:rPr>
          <w:rFonts w:ascii="Arial" w:hAnsi="Arial" w:cs="Arial"/>
        </w:rPr>
      </w:pPr>
      <w:r w:rsidRPr="009A7325">
        <w:rPr>
          <w:rFonts w:ascii="Arial" w:hAnsi="Arial" w:cs="Arial"/>
        </w:rPr>
        <w:t>El gasto por impuesto sobre beneficios del ejercicio se calcula mediante la suma del impuesto corriente, que resulta de aplicar el correspondiente tipo de gravamen a la base imponible del ejercicio menos las bonificaciones y deducciones existentes, y de las variaciones producidas durante dicho ejercicio en los activos y pasivos por impuestos diferidos registrados. Se reconoce en la cuenta de pérdidas y ganancias, excepto cuando corresponde a transacciones que se registran directamente en el patrimonio neto, en cuyo caso el impuesto correspondiente también se registra en el patrimonio neto</w:t>
      </w:r>
      <w:r>
        <w:rPr>
          <w:rFonts w:ascii="Arial" w:hAnsi="Arial" w:cs="Arial"/>
        </w:rPr>
        <w:t>.</w:t>
      </w:r>
    </w:p>
    <w:p w14:paraId="4949FC0C" w14:textId="77777777" w:rsidR="009B0B40" w:rsidRPr="009A7325" w:rsidRDefault="009B0B40" w:rsidP="001E1C0D">
      <w:pPr>
        <w:spacing w:before="200" w:line="276" w:lineRule="auto"/>
        <w:jc w:val="both"/>
        <w:rPr>
          <w:rFonts w:ascii="Arial" w:hAnsi="Arial" w:cs="Arial"/>
          <w:color w:val="000000"/>
        </w:rPr>
      </w:pPr>
      <w:r w:rsidRPr="009A7325">
        <w:rPr>
          <w:rFonts w:ascii="Arial" w:hAnsi="Arial" w:cs="Arial"/>
        </w:rPr>
        <w:t xml:space="preserve">Los impuestos diferidos se registran para las diferencias temporarias existentes en la fecha del balance entre la base fiscal de los activos y pasivos y sus valores contables. </w:t>
      </w:r>
      <w:r w:rsidRPr="009A7325">
        <w:rPr>
          <w:rFonts w:ascii="Arial" w:hAnsi="Arial" w:cs="Arial"/>
          <w:color w:val="000000"/>
        </w:rPr>
        <w:t xml:space="preserve">Se considera como base fiscal de un elemento patrimonial el importe atribuido al mismo a efectos fiscales. </w:t>
      </w:r>
    </w:p>
    <w:p w14:paraId="365737F8" w14:textId="77777777" w:rsidR="009B0B40" w:rsidRPr="009A7325" w:rsidRDefault="009B0B40" w:rsidP="001E1C0D">
      <w:pPr>
        <w:spacing w:before="200" w:line="276" w:lineRule="auto"/>
        <w:jc w:val="both"/>
        <w:rPr>
          <w:rFonts w:ascii="Arial" w:hAnsi="Arial" w:cs="Arial"/>
        </w:rPr>
      </w:pPr>
      <w:r w:rsidRPr="009A7325">
        <w:rPr>
          <w:rFonts w:ascii="Arial" w:hAnsi="Arial" w:cs="Arial"/>
        </w:rPr>
        <w:t>El efecto impositivo de las diferencias temporarias se incluye en los correspondientes epígrafes de “Activos por impuesto diferido” y “Pasivos por impuesto diferido” del balance.</w:t>
      </w:r>
    </w:p>
    <w:p w14:paraId="4B0AF63E" w14:textId="77777777" w:rsidR="009B0B40" w:rsidRPr="009A7325" w:rsidRDefault="009B0B40" w:rsidP="001E1C0D">
      <w:pPr>
        <w:spacing w:before="200" w:line="276" w:lineRule="auto"/>
        <w:jc w:val="both"/>
        <w:rPr>
          <w:rFonts w:ascii="Arial" w:hAnsi="Arial" w:cs="Arial"/>
        </w:rPr>
      </w:pPr>
      <w:r w:rsidRPr="009A7325">
        <w:rPr>
          <w:rFonts w:ascii="Arial" w:hAnsi="Arial" w:cs="Arial"/>
        </w:rPr>
        <w:t>La Sociedad reconoce un pasivo por impuesto diferido para todas las diferencias temporarias imponibles, salvo, en su caso, para las excepciones previstas en la normativa vigente.</w:t>
      </w:r>
    </w:p>
    <w:p w14:paraId="7E95777F" w14:textId="77777777" w:rsidR="009B0B40" w:rsidRPr="009A7325" w:rsidRDefault="009B0B40" w:rsidP="001E1C0D">
      <w:pPr>
        <w:spacing w:before="200" w:line="276" w:lineRule="auto"/>
        <w:jc w:val="both"/>
        <w:rPr>
          <w:rFonts w:ascii="Arial" w:hAnsi="Arial" w:cs="Arial"/>
        </w:rPr>
      </w:pPr>
      <w:r w:rsidRPr="009A7325">
        <w:rPr>
          <w:rFonts w:ascii="Arial" w:hAnsi="Arial" w:cs="Arial"/>
        </w:rPr>
        <w:t>La Sociedad reconoce los activos por impuesto diferido para todas las diferencias temporarias deducibles, créditos fiscales no utilizados y bases imponibles negativas pendientes de compensar, en la medida en que resulte probable que la Sociedad disponga de ganancias fiscales futuras que permitan la aplicación de estos activos, salvo, en su caso, para las excepciones previstas en la normativa vigente.</w:t>
      </w:r>
    </w:p>
    <w:p w14:paraId="47162E36" w14:textId="77777777" w:rsidR="009B0B40" w:rsidRDefault="009B0B40" w:rsidP="001E1C0D">
      <w:pPr>
        <w:spacing w:before="200" w:line="276" w:lineRule="auto"/>
        <w:jc w:val="both"/>
        <w:rPr>
          <w:rFonts w:ascii="Arial" w:hAnsi="Arial" w:cs="Arial"/>
        </w:rPr>
      </w:pPr>
      <w:r w:rsidRPr="009A7325">
        <w:rPr>
          <w:rFonts w:ascii="Arial" w:hAnsi="Arial" w:cs="Arial"/>
        </w:rPr>
        <w:t xml:space="preserve">En la fecha de cierre de cada ejercicio la Sociedad evalúa los activos por impuesto diferido reconocido y aquellos que no se han reconocido anteriormente. En base a tal evaluación, la Sociedad procede a dar de baja un activo reconocido anteriormente si ya no resulta probable su recuperación, o procede a registrar cualquier activo por impuesto diferido no reconocido anteriormente siempre que resulte probable que la Sociedad disponga de ganancias fiscales futuras que permitan su aplicación. </w:t>
      </w:r>
    </w:p>
    <w:p w14:paraId="38F796D3" w14:textId="77777777" w:rsidR="009B0B40" w:rsidRPr="009A7325" w:rsidRDefault="009B0B40" w:rsidP="001E1C0D">
      <w:pPr>
        <w:spacing w:before="200" w:line="276" w:lineRule="auto"/>
        <w:jc w:val="both"/>
        <w:rPr>
          <w:rFonts w:ascii="Arial" w:hAnsi="Arial" w:cs="Arial"/>
        </w:rPr>
      </w:pPr>
      <w:r w:rsidRPr="009A7325">
        <w:rPr>
          <w:rFonts w:ascii="Arial" w:hAnsi="Arial" w:cs="Arial"/>
        </w:rPr>
        <w:t xml:space="preserve">Los activos y pasivos por impuesto diferido se valoran a los tipos de gravamen esperados en el momento de su reversión, según la normativa vigente aprobada, y de acuerdo con la forma en que racionalmente se espera recuperar o pagar el activo o pasivo por impuesto diferido. </w:t>
      </w:r>
    </w:p>
    <w:p w14:paraId="0D61E1E4" w14:textId="77777777" w:rsidR="009B0B40" w:rsidRDefault="009B0B40" w:rsidP="001E1C0D">
      <w:pPr>
        <w:widowControl w:val="0"/>
        <w:autoSpaceDE w:val="0"/>
        <w:autoSpaceDN w:val="0"/>
        <w:adjustRightInd w:val="0"/>
        <w:spacing w:before="200" w:line="276" w:lineRule="auto"/>
        <w:jc w:val="both"/>
        <w:rPr>
          <w:rFonts w:ascii="Arial" w:hAnsi="Arial" w:cs="Arial"/>
          <w:color w:val="000000"/>
        </w:rPr>
      </w:pPr>
      <w:r w:rsidRPr="009A7325">
        <w:rPr>
          <w:rFonts w:ascii="Arial" w:hAnsi="Arial" w:cs="Arial"/>
          <w:color w:val="000000"/>
        </w:rPr>
        <w:t xml:space="preserve">Los activos y pasivos por impuesto diferido no se descuentan y se clasifican como activos y pasivos no corrientes, independientemente de la fecha esperada de realización o liquidación. </w:t>
      </w:r>
    </w:p>
    <w:p w14:paraId="7F239502" w14:textId="77777777" w:rsidR="009B0B40" w:rsidRPr="001440C8" w:rsidRDefault="009B0B40" w:rsidP="001E1C0D">
      <w:pPr>
        <w:spacing w:before="200" w:line="276" w:lineRule="auto"/>
        <w:jc w:val="both"/>
        <w:rPr>
          <w:rFonts w:ascii="Arial" w:hAnsi="Arial" w:cs="Arial"/>
        </w:rPr>
      </w:pPr>
      <w:r>
        <w:rPr>
          <w:rFonts w:ascii="Arial" w:hAnsi="Arial" w:cs="Arial"/>
        </w:rPr>
        <w:t>Después de aprobadas las Cuentas Anuales del ejercicio 2010 de la Sociedad Absorbente, se consideró conveniente dejar sin efecto la bonificación del 99%</w:t>
      </w:r>
      <w:r w:rsidRPr="0098310D">
        <w:rPr>
          <w:rFonts w:ascii="Arial" w:hAnsi="Arial" w:cs="Arial"/>
        </w:rPr>
        <w:t xml:space="preserve"> </w:t>
      </w:r>
      <w:r>
        <w:rPr>
          <w:rFonts w:ascii="Arial" w:hAnsi="Arial" w:cs="Arial"/>
        </w:rPr>
        <w:t xml:space="preserve">de la cuota íntegra del impuesto sobre sociedades en aplicación del artículo 58 de la Ley Foral 24/96. </w:t>
      </w:r>
    </w:p>
    <w:p w14:paraId="13185BE0" w14:textId="77777777" w:rsidR="009B0B40" w:rsidRPr="00580667" w:rsidRDefault="009B0B40" w:rsidP="001E1C0D">
      <w:pPr>
        <w:pStyle w:val="Ttulo2"/>
        <w:spacing w:before="200" w:line="276" w:lineRule="auto"/>
      </w:pPr>
      <w:r>
        <w:t>4.8.</w:t>
      </w:r>
      <w:r w:rsidRPr="00580667">
        <w:t xml:space="preserve"> </w:t>
      </w:r>
      <w:r>
        <w:tab/>
      </w:r>
      <w:r w:rsidRPr="00580667">
        <w:t>Ingresos y gastos</w:t>
      </w:r>
    </w:p>
    <w:p w14:paraId="28895474" w14:textId="77777777" w:rsidR="009B0B40" w:rsidRDefault="009B0B40" w:rsidP="001E1C0D">
      <w:pPr>
        <w:spacing w:before="200" w:line="276" w:lineRule="auto"/>
        <w:jc w:val="both"/>
        <w:rPr>
          <w:rFonts w:ascii="Arial" w:hAnsi="Arial" w:cs="Arial"/>
        </w:rPr>
      </w:pPr>
      <w:r w:rsidRPr="00497AFA">
        <w:rPr>
          <w:rFonts w:ascii="Arial" w:hAnsi="Arial" w:cs="Arial"/>
        </w:rPr>
        <w:t>La Sociedad contabiliza sus gastos e ingresos siguiendo el principio de devengo y el de correlación de ingresos y gastos, atendiendo en todo caso al principio de prudencia.</w:t>
      </w:r>
    </w:p>
    <w:p w14:paraId="3779A2D5" w14:textId="77777777" w:rsidR="00F14376" w:rsidRPr="00F14376" w:rsidRDefault="00F14376" w:rsidP="001E1C0D">
      <w:pPr>
        <w:spacing w:before="200" w:line="276" w:lineRule="auto"/>
        <w:jc w:val="both"/>
        <w:rPr>
          <w:rFonts w:ascii="Arial" w:hAnsi="Arial" w:cs="Arial"/>
          <w:b/>
          <w:color w:val="0070C0"/>
        </w:rPr>
      </w:pPr>
      <w:r w:rsidRPr="00F14376">
        <w:rPr>
          <w:rFonts w:ascii="Arial" w:hAnsi="Arial" w:cs="Arial"/>
          <w:b/>
          <w:color w:val="0070C0"/>
        </w:rPr>
        <w:t>Ingresos vinculados a los acuerdos concesionales</w:t>
      </w:r>
    </w:p>
    <w:p w14:paraId="5068A42A" w14:textId="77777777" w:rsidR="009B0B40" w:rsidRDefault="009B0B40" w:rsidP="001E1C0D">
      <w:pPr>
        <w:spacing w:before="200" w:line="276" w:lineRule="auto"/>
        <w:jc w:val="both"/>
        <w:rPr>
          <w:rFonts w:ascii="Arial" w:hAnsi="Arial" w:cs="Arial"/>
        </w:rPr>
      </w:pPr>
      <w:r>
        <w:rPr>
          <w:rFonts w:ascii="Arial" w:hAnsi="Arial" w:cs="Arial"/>
        </w:rPr>
        <w:t>Parte</w:t>
      </w:r>
      <w:r w:rsidRPr="00497AFA">
        <w:rPr>
          <w:rFonts w:ascii="Arial" w:hAnsi="Arial" w:cs="Arial"/>
        </w:rPr>
        <w:t xml:space="preserve"> de los ingresos de la Sociedad </w:t>
      </w:r>
      <w:r>
        <w:rPr>
          <w:rFonts w:ascii="Arial" w:hAnsi="Arial" w:cs="Arial"/>
        </w:rPr>
        <w:t>proceden de la facturación de los servicios prestados a la Sociedad Concesionaria de la Zona Regable del Canal de Navarra y a la Sociedad Concesionaria de la Ampliación de la Primera Fase de la Zona Regable del Canal de Navarra en concepto de “Gasto</w:t>
      </w:r>
      <w:r w:rsidR="00406F5A">
        <w:rPr>
          <w:rFonts w:ascii="Arial" w:hAnsi="Arial" w:cs="Arial"/>
        </w:rPr>
        <w:t xml:space="preserve">s a Cargo del Concesionario”. </w:t>
      </w:r>
      <w:r>
        <w:rPr>
          <w:rFonts w:ascii="Arial" w:hAnsi="Arial" w:cs="Arial"/>
        </w:rPr>
        <w:t>Estos servicios están recogidos en los Pliegos de Cláusulas Administrativas Particulares que rigen los contratos concesionales.</w:t>
      </w:r>
    </w:p>
    <w:p w14:paraId="596EB07B" w14:textId="77777777" w:rsidR="009B0B40" w:rsidRPr="00AB7C5B" w:rsidRDefault="009B0B40" w:rsidP="001E1C0D">
      <w:pPr>
        <w:spacing w:before="200" w:line="276" w:lineRule="auto"/>
        <w:jc w:val="both"/>
        <w:rPr>
          <w:rFonts w:ascii="Arial" w:hAnsi="Arial" w:cs="Arial"/>
          <w:color w:val="005BA6"/>
        </w:rPr>
      </w:pPr>
      <w:r w:rsidRPr="00AB7C5B">
        <w:rPr>
          <w:rFonts w:ascii="Arial" w:hAnsi="Arial" w:cs="Arial"/>
          <w:color w:val="005BA6"/>
        </w:rPr>
        <w:t>Concesión de la Zona Regable del Canal de Navarra</w:t>
      </w:r>
    </w:p>
    <w:p w14:paraId="067534A1" w14:textId="77777777" w:rsidR="009B0B40" w:rsidRDefault="009B0B40" w:rsidP="001E1C0D">
      <w:pPr>
        <w:spacing w:before="200" w:line="276" w:lineRule="auto"/>
        <w:jc w:val="both"/>
        <w:rPr>
          <w:rFonts w:ascii="Arial" w:hAnsi="Arial" w:cs="Arial"/>
        </w:rPr>
      </w:pPr>
      <w:r>
        <w:rPr>
          <w:rFonts w:ascii="Arial" w:hAnsi="Arial" w:cs="Arial"/>
        </w:rPr>
        <w:t>Hasta el ejercicio 2010, este concepto importaba</w:t>
      </w:r>
      <w:r w:rsidRPr="00497AFA">
        <w:rPr>
          <w:rFonts w:ascii="Arial" w:hAnsi="Arial" w:cs="Arial"/>
        </w:rPr>
        <w:t xml:space="preserve"> un 8% de la suma de los presupuestos de ejecución por contrata (PEC) de los Proyectos Constructivos aprobados para cada sector de riego objeto de construcción por el concesionario. </w:t>
      </w:r>
      <w:r>
        <w:rPr>
          <w:rFonts w:ascii="Arial" w:hAnsi="Arial" w:cs="Arial"/>
        </w:rPr>
        <w:t>En 2011 se acordó según acuerdo recogido en la Comisión Mixta celebrada el 23 de noviembre de 2010 situar este porcentaje en el 7%.</w:t>
      </w:r>
    </w:p>
    <w:p w14:paraId="5970C513" w14:textId="77777777" w:rsidR="006F2433" w:rsidRDefault="009B0B40" w:rsidP="00406F5A">
      <w:pPr>
        <w:spacing w:before="200" w:line="276" w:lineRule="auto"/>
        <w:jc w:val="both"/>
        <w:rPr>
          <w:rFonts w:ascii="Arial" w:hAnsi="Arial" w:cs="Arial"/>
        </w:rPr>
      </w:pPr>
      <w:r w:rsidRPr="00497AFA">
        <w:rPr>
          <w:rFonts w:ascii="Arial" w:hAnsi="Arial" w:cs="Arial"/>
        </w:rPr>
        <w:t>Dichos ingresos se facturan por anticipado y tienen un desglose que conlleva distintos periodos de devengo, que se resumen en la siguiente tabla:</w:t>
      </w:r>
    </w:p>
    <w:p w14:paraId="564559C5" w14:textId="77777777" w:rsidR="00747E00" w:rsidRDefault="00747E00">
      <w:pPr>
        <w:rPr>
          <w:rFonts w:ascii="Arial" w:hAnsi="Arial" w:cs="Arial"/>
        </w:rPr>
      </w:pPr>
      <w:r>
        <w:rPr>
          <w:rFonts w:ascii="Arial" w:hAnsi="Arial" w:cs="Arial"/>
        </w:rPr>
        <w:br w:type="page"/>
      </w:r>
    </w:p>
    <w:p w14:paraId="3D91BBAD" w14:textId="77777777" w:rsidR="00747E00" w:rsidRPr="00497AFA" w:rsidRDefault="00747E00" w:rsidP="00406F5A">
      <w:pPr>
        <w:spacing w:before="200" w:line="276" w:lineRule="auto"/>
        <w:jc w:val="both"/>
        <w:rPr>
          <w:rFonts w:ascii="Arial" w:hAnsi="Arial" w:cs="Arial"/>
        </w:rPr>
      </w:pPr>
    </w:p>
    <w:tbl>
      <w:tblPr>
        <w:tblpPr w:leftFromText="141" w:rightFromText="141" w:vertAnchor="text" w:horzAnchor="margin" w:tblpXSpec="center" w:tblpY="222"/>
        <w:tblW w:w="0" w:type="auto"/>
        <w:tblBorders>
          <w:top w:val="single" w:sz="4" w:space="0" w:color="005BA6"/>
          <w:left w:val="single" w:sz="4" w:space="0" w:color="005BA6"/>
          <w:bottom w:val="single" w:sz="4" w:space="0" w:color="005BA6"/>
          <w:right w:val="single" w:sz="4" w:space="0" w:color="005BA6"/>
          <w:insideH w:val="single" w:sz="4" w:space="0" w:color="005BA6"/>
          <w:insideV w:val="single" w:sz="4" w:space="0" w:color="005BA6"/>
        </w:tblBorders>
        <w:tblLook w:val="00A0" w:firstRow="1" w:lastRow="0" w:firstColumn="1" w:lastColumn="0" w:noHBand="0" w:noVBand="0"/>
      </w:tblPr>
      <w:tblGrid>
        <w:gridCol w:w="4059"/>
        <w:gridCol w:w="963"/>
        <w:gridCol w:w="3982"/>
      </w:tblGrid>
      <w:tr w:rsidR="009B0B40" w:rsidRPr="00497AFA" w14:paraId="07D00A67" w14:textId="77777777" w:rsidTr="00CE29B3">
        <w:tc>
          <w:tcPr>
            <w:tcW w:w="4059" w:type="dxa"/>
            <w:shd w:val="clear" w:color="auto" w:fill="005BA6"/>
          </w:tcPr>
          <w:p w14:paraId="1AD99EE9" w14:textId="77777777" w:rsidR="009B0B40" w:rsidRPr="004F1E37" w:rsidRDefault="009B0B40" w:rsidP="00A23A3F">
            <w:pPr>
              <w:spacing w:line="360" w:lineRule="auto"/>
              <w:jc w:val="both"/>
              <w:rPr>
                <w:rFonts w:ascii="Arial" w:hAnsi="Arial" w:cs="Arial"/>
                <w:b/>
                <w:color w:val="FFFFFF"/>
              </w:rPr>
            </w:pPr>
            <w:r w:rsidRPr="004F1E37">
              <w:rPr>
                <w:rFonts w:ascii="Arial" w:hAnsi="Arial" w:cs="Arial"/>
                <w:b/>
                <w:color w:val="FFFFFF"/>
              </w:rPr>
              <w:t>Concepto</w:t>
            </w:r>
          </w:p>
        </w:tc>
        <w:tc>
          <w:tcPr>
            <w:tcW w:w="963" w:type="dxa"/>
            <w:shd w:val="clear" w:color="auto" w:fill="005BA6"/>
          </w:tcPr>
          <w:p w14:paraId="29B219ED" w14:textId="77777777" w:rsidR="009B0B40" w:rsidRPr="004F1E37" w:rsidRDefault="009B0B40" w:rsidP="00A23A3F">
            <w:pPr>
              <w:spacing w:line="360" w:lineRule="auto"/>
              <w:jc w:val="both"/>
              <w:rPr>
                <w:rFonts w:ascii="Arial" w:hAnsi="Arial" w:cs="Arial"/>
                <w:b/>
                <w:color w:val="FFFFFF"/>
              </w:rPr>
            </w:pPr>
            <w:r w:rsidRPr="004F1E37">
              <w:rPr>
                <w:rFonts w:ascii="Arial" w:hAnsi="Arial" w:cs="Arial"/>
                <w:b/>
                <w:color w:val="FFFFFF"/>
              </w:rPr>
              <w:t>% PEC</w:t>
            </w:r>
          </w:p>
        </w:tc>
        <w:tc>
          <w:tcPr>
            <w:tcW w:w="3982" w:type="dxa"/>
            <w:shd w:val="clear" w:color="auto" w:fill="005BA6"/>
          </w:tcPr>
          <w:p w14:paraId="3099654D" w14:textId="77777777" w:rsidR="009B0B40" w:rsidRPr="004F1E37" w:rsidRDefault="009B0B40" w:rsidP="00A620F9">
            <w:pPr>
              <w:spacing w:line="360" w:lineRule="auto"/>
              <w:ind w:left="85"/>
              <w:jc w:val="both"/>
              <w:rPr>
                <w:rFonts w:ascii="Arial" w:hAnsi="Arial" w:cs="Arial"/>
                <w:b/>
                <w:color w:val="FFFFFF"/>
              </w:rPr>
            </w:pPr>
            <w:r w:rsidRPr="004F1E37">
              <w:rPr>
                <w:rFonts w:ascii="Arial" w:hAnsi="Arial" w:cs="Arial"/>
                <w:b/>
                <w:color w:val="FFFFFF"/>
              </w:rPr>
              <w:t>Periodo de devengo</w:t>
            </w:r>
          </w:p>
        </w:tc>
      </w:tr>
      <w:tr w:rsidR="009B0B40" w:rsidRPr="00497AFA" w14:paraId="22400C39" w14:textId="77777777" w:rsidTr="00CE29B3">
        <w:tc>
          <w:tcPr>
            <w:tcW w:w="4059" w:type="dxa"/>
            <w:vAlign w:val="bottom"/>
          </w:tcPr>
          <w:p w14:paraId="532BB336" w14:textId="77777777" w:rsidR="009B0B40" w:rsidRPr="00497AFA" w:rsidRDefault="009B0B40" w:rsidP="00A23A3F">
            <w:pPr>
              <w:rPr>
                <w:rFonts w:ascii="Arial" w:hAnsi="Arial" w:cs="Arial"/>
              </w:rPr>
            </w:pPr>
            <w:r w:rsidRPr="00497AFA">
              <w:rPr>
                <w:rFonts w:ascii="Arial" w:hAnsi="Arial" w:cs="Arial"/>
              </w:rPr>
              <w:t xml:space="preserve">Proyecto Constructivo Base </w:t>
            </w:r>
          </w:p>
        </w:tc>
        <w:tc>
          <w:tcPr>
            <w:tcW w:w="963" w:type="dxa"/>
            <w:vAlign w:val="center"/>
          </w:tcPr>
          <w:p w14:paraId="4E86F562" w14:textId="77777777" w:rsidR="009B0B40" w:rsidRPr="00497AFA" w:rsidRDefault="009B0B40" w:rsidP="00A23A3F">
            <w:pPr>
              <w:jc w:val="center"/>
              <w:rPr>
                <w:rFonts w:ascii="Arial" w:hAnsi="Arial" w:cs="Arial"/>
              </w:rPr>
            </w:pPr>
            <w:r w:rsidRPr="00497AFA">
              <w:rPr>
                <w:rFonts w:ascii="Arial" w:hAnsi="Arial" w:cs="Arial"/>
              </w:rPr>
              <w:t>0,5%</w:t>
            </w:r>
          </w:p>
        </w:tc>
        <w:tc>
          <w:tcPr>
            <w:tcW w:w="3982" w:type="dxa"/>
          </w:tcPr>
          <w:p w14:paraId="2A80977B" w14:textId="77777777" w:rsidR="009B0B40" w:rsidRPr="00497AFA" w:rsidRDefault="009B0B40" w:rsidP="00A23A3F">
            <w:pPr>
              <w:jc w:val="both"/>
              <w:rPr>
                <w:rFonts w:ascii="Arial" w:hAnsi="Arial" w:cs="Arial"/>
              </w:rPr>
            </w:pPr>
            <w:r w:rsidRPr="00497AFA">
              <w:rPr>
                <w:rFonts w:ascii="Arial" w:hAnsi="Arial" w:cs="Arial"/>
              </w:rPr>
              <w:t>En el año de inicio de las obras</w:t>
            </w:r>
          </w:p>
        </w:tc>
      </w:tr>
      <w:tr w:rsidR="009B0B40" w:rsidRPr="00497AFA" w14:paraId="1B569557" w14:textId="77777777" w:rsidTr="00CE29B3">
        <w:tc>
          <w:tcPr>
            <w:tcW w:w="4059" w:type="dxa"/>
            <w:vAlign w:val="bottom"/>
          </w:tcPr>
          <w:p w14:paraId="0E21A593" w14:textId="77777777" w:rsidR="009B0B40" w:rsidRPr="00497AFA" w:rsidRDefault="009B0B40" w:rsidP="00A23A3F">
            <w:pPr>
              <w:rPr>
                <w:rFonts w:ascii="Arial" w:hAnsi="Arial" w:cs="Arial"/>
              </w:rPr>
            </w:pPr>
            <w:r w:rsidRPr="00497AFA">
              <w:rPr>
                <w:rFonts w:ascii="Arial" w:hAnsi="Arial" w:cs="Arial"/>
              </w:rPr>
              <w:t xml:space="preserve">Dirección Facultativa de la obra </w:t>
            </w:r>
          </w:p>
        </w:tc>
        <w:tc>
          <w:tcPr>
            <w:tcW w:w="963" w:type="dxa"/>
            <w:vAlign w:val="center"/>
          </w:tcPr>
          <w:p w14:paraId="3BD9BB17" w14:textId="77777777" w:rsidR="009B0B40" w:rsidRPr="00497AFA" w:rsidRDefault="009B0B40" w:rsidP="00A23A3F">
            <w:pPr>
              <w:jc w:val="center"/>
              <w:rPr>
                <w:rFonts w:ascii="Arial" w:hAnsi="Arial" w:cs="Arial"/>
              </w:rPr>
            </w:pPr>
            <w:r w:rsidRPr="00497AFA">
              <w:rPr>
                <w:rFonts w:ascii="Arial" w:hAnsi="Arial" w:cs="Arial"/>
              </w:rPr>
              <w:t>2,5%</w:t>
            </w:r>
          </w:p>
        </w:tc>
        <w:tc>
          <w:tcPr>
            <w:tcW w:w="3982" w:type="dxa"/>
          </w:tcPr>
          <w:p w14:paraId="2AEB2E29" w14:textId="77777777" w:rsidR="009B0B40" w:rsidRPr="00497AFA" w:rsidRDefault="009B0B40" w:rsidP="00A23A3F">
            <w:pPr>
              <w:jc w:val="both"/>
              <w:rPr>
                <w:rFonts w:ascii="Arial" w:hAnsi="Arial" w:cs="Arial"/>
              </w:rPr>
            </w:pPr>
            <w:r w:rsidRPr="00497AFA">
              <w:rPr>
                <w:rFonts w:ascii="Arial" w:hAnsi="Arial" w:cs="Arial"/>
              </w:rPr>
              <w:t>Durante el periodo de ejecución de las obras</w:t>
            </w:r>
          </w:p>
        </w:tc>
      </w:tr>
      <w:tr w:rsidR="009B0B40" w:rsidRPr="00497AFA" w14:paraId="11150094" w14:textId="77777777" w:rsidTr="00CE29B3">
        <w:tc>
          <w:tcPr>
            <w:tcW w:w="4059" w:type="dxa"/>
            <w:vAlign w:val="bottom"/>
          </w:tcPr>
          <w:p w14:paraId="63ABF828" w14:textId="77777777" w:rsidR="009B0B40" w:rsidRPr="00497AFA" w:rsidRDefault="009B0B40" w:rsidP="00A23A3F">
            <w:pPr>
              <w:rPr>
                <w:rFonts w:ascii="Arial" w:hAnsi="Arial" w:cs="Arial"/>
              </w:rPr>
            </w:pPr>
            <w:r w:rsidRPr="00497AFA">
              <w:rPr>
                <w:rFonts w:ascii="Arial" w:hAnsi="Arial" w:cs="Arial"/>
              </w:rPr>
              <w:t xml:space="preserve">Gestión del proceso concesional </w:t>
            </w:r>
          </w:p>
        </w:tc>
        <w:tc>
          <w:tcPr>
            <w:tcW w:w="963" w:type="dxa"/>
            <w:vAlign w:val="center"/>
          </w:tcPr>
          <w:p w14:paraId="575BF04B" w14:textId="77777777" w:rsidR="009B0B40" w:rsidRPr="00497AFA" w:rsidRDefault="009B0B40" w:rsidP="00A23A3F">
            <w:pPr>
              <w:jc w:val="center"/>
              <w:rPr>
                <w:rFonts w:ascii="Arial" w:hAnsi="Arial" w:cs="Arial"/>
              </w:rPr>
            </w:pPr>
            <w:r>
              <w:rPr>
                <w:rFonts w:ascii="Arial" w:hAnsi="Arial" w:cs="Arial"/>
              </w:rPr>
              <w:t>2</w:t>
            </w:r>
            <w:r w:rsidRPr="00497AFA">
              <w:rPr>
                <w:rFonts w:ascii="Arial" w:hAnsi="Arial" w:cs="Arial"/>
              </w:rPr>
              <w:t>,0%</w:t>
            </w:r>
          </w:p>
        </w:tc>
        <w:tc>
          <w:tcPr>
            <w:tcW w:w="3982" w:type="dxa"/>
          </w:tcPr>
          <w:p w14:paraId="7D1E5E4F" w14:textId="77777777" w:rsidR="009B0B40" w:rsidRPr="00497AFA" w:rsidRDefault="009B0B40" w:rsidP="00A23A3F">
            <w:pPr>
              <w:jc w:val="both"/>
              <w:rPr>
                <w:rFonts w:ascii="Arial" w:hAnsi="Arial" w:cs="Arial"/>
              </w:rPr>
            </w:pPr>
            <w:r w:rsidRPr="00497AFA">
              <w:rPr>
                <w:rFonts w:ascii="Arial" w:hAnsi="Arial" w:cs="Arial"/>
              </w:rPr>
              <w:t>Durante los años de vida de la concesión</w:t>
            </w:r>
          </w:p>
        </w:tc>
      </w:tr>
      <w:tr w:rsidR="009B0B40" w:rsidRPr="00497AFA" w14:paraId="0166B11D" w14:textId="77777777" w:rsidTr="00CE29B3">
        <w:tc>
          <w:tcPr>
            <w:tcW w:w="4059" w:type="dxa"/>
            <w:vAlign w:val="bottom"/>
          </w:tcPr>
          <w:p w14:paraId="6DC3D540" w14:textId="77777777" w:rsidR="009B0B40" w:rsidRPr="00497AFA" w:rsidRDefault="009B0B40" w:rsidP="00A23A3F">
            <w:pPr>
              <w:rPr>
                <w:rFonts w:ascii="Arial" w:hAnsi="Arial" w:cs="Arial"/>
              </w:rPr>
            </w:pPr>
            <w:r w:rsidRPr="00497AFA">
              <w:rPr>
                <w:rFonts w:ascii="Arial" w:hAnsi="Arial" w:cs="Arial"/>
              </w:rPr>
              <w:t xml:space="preserve">Asistencia Técnica al Regante durante el primer año </w:t>
            </w:r>
          </w:p>
        </w:tc>
        <w:tc>
          <w:tcPr>
            <w:tcW w:w="963" w:type="dxa"/>
            <w:vAlign w:val="center"/>
          </w:tcPr>
          <w:p w14:paraId="0CD8EDE4" w14:textId="77777777" w:rsidR="009B0B40" w:rsidRPr="00497AFA" w:rsidRDefault="009B0B40" w:rsidP="00A23A3F">
            <w:pPr>
              <w:jc w:val="center"/>
              <w:rPr>
                <w:rFonts w:ascii="Arial" w:hAnsi="Arial" w:cs="Arial"/>
              </w:rPr>
            </w:pPr>
            <w:r w:rsidRPr="00497AFA">
              <w:rPr>
                <w:rFonts w:ascii="Arial" w:hAnsi="Arial" w:cs="Arial"/>
              </w:rPr>
              <w:t>1,0%</w:t>
            </w:r>
          </w:p>
        </w:tc>
        <w:tc>
          <w:tcPr>
            <w:tcW w:w="3982" w:type="dxa"/>
          </w:tcPr>
          <w:p w14:paraId="792AFE32" w14:textId="77777777" w:rsidR="009B0B40" w:rsidRPr="00497AFA" w:rsidRDefault="009B0B40" w:rsidP="00A23A3F">
            <w:pPr>
              <w:jc w:val="both"/>
              <w:rPr>
                <w:rFonts w:ascii="Arial" w:hAnsi="Arial" w:cs="Arial"/>
              </w:rPr>
            </w:pPr>
            <w:r w:rsidRPr="00497AFA">
              <w:rPr>
                <w:rFonts w:ascii="Arial" w:hAnsi="Arial" w:cs="Arial"/>
              </w:rPr>
              <w:t>El año posterior a la ejecución de las obras</w:t>
            </w:r>
          </w:p>
        </w:tc>
      </w:tr>
      <w:tr w:rsidR="009B0B40" w:rsidRPr="00497AFA" w14:paraId="09D4A861" w14:textId="77777777" w:rsidTr="00CE29B3">
        <w:tc>
          <w:tcPr>
            <w:tcW w:w="4059" w:type="dxa"/>
            <w:vAlign w:val="bottom"/>
          </w:tcPr>
          <w:p w14:paraId="5BA55D35" w14:textId="77777777" w:rsidR="009B0B40" w:rsidRPr="00497AFA" w:rsidRDefault="009B0B40" w:rsidP="00A23A3F">
            <w:pPr>
              <w:rPr>
                <w:rFonts w:ascii="Arial" w:hAnsi="Arial" w:cs="Arial"/>
              </w:rPr>
            </w:pPr>
            <w:r w:rsidRPr="00497AFA">
              <w:rPr>
                <w:rFonts w:ascii="Arial" w:hAnsi="Arial" w:cs="Arial"/>
              </w:rPr>
              <w:t xml:space="preserve">Control de la explotación </w:t>
            </w:r>
          </w:p>
        </w:tc>
        <w:tc>
          <w:tcPr>
            <w:tcW w:w="963" w:type="dxa"/>
            <w:vAlign w:val="center"/>
          </w:tcPr>
          <w:p w14:paraId="71F59285" w14:textId="77777777" w:rsidR="009B0B40" w:rsidRPr="00497AFA" w:rsidRDefault="009B0B40" w:rsidP="00A23A3F">
            <w:pPr>
              <w:jc w:val="center"/>
              <w:rPr>
                <w:rFonts w:ascii="Arial" w:hAnsi="Arial" w:cs="Arial"/>
              </w:rPr>
            </w:pPr>
            <w:r w:rsidRPr="00497AFA">
              <w:rPr>
                <w:rFonts w:ascii="Arial" w:hAnsi="Arial" w:cs="Arial"/>
              </w:rPr>
              <w:t>1,0%</w:t>
            </w:r>
          </w:p>
        </w:tc>
        <w:tc>
          <w:tcPr>
            <w:tcW w:w="3982" w:type="dxa"/>
          </w:tcPr>
          <w:p w14:paraId="7502DC91" w14:textId="77777777" w:rsidR="009B0B40" w:rsidRPr="00497AFA" w:rsidRDefault="009B0B40" w:rsidP="00A23A3F">
            <w:pPr>
              <w:jc w:val="both"/>
              <w:rPr>
                <w:rFonts w:ascii="Arial" w:hAnsi="Arial" w:cs="Arial"/>
              </w:rPr>
            </w:pPr>
            <w:r w:rsidRPr="00497AFA">
              <w:rPr>
                <w:rFonts w:ascii="Arial" w:hAnsi="Arial" w:cs="Arial"/>
              </w:rPr>
              <w:t>Durante los años de vida de la concesión</w:t>
            </w:r>
          </w:p>
        </w:tc>
      </w:tr>
    </w:tbl>
    <w:p w14:paraId="3E4C54E6" w14:textId="77777777" w:rsidR="0071358D" w:rsidRDefault="009B0B40" w:rsidP="001E1C0D">
      <w:pPr>
        <w:spacing w:before="200" w:line="276" w:lineRule="auto"/>
        <w:jc w:val="both"/>
        <w:rPr>
          <w:rFonts w:ascii="Arial" w:hAnsi="Arial" w:cs="Arial"/>
        </w:rPr>
      </w:pPr>
      <w:r w:rsidRPr="00497AFA">
        <w:rPr>
          <w:rFonts w:ascii="Arial" w:hAnsi="Arial" w:cs="Arial"/>
        </w:rPr>
        <w:t xml:space="preserve">El desglose de ingresos está hecho de acuerdo con el mismo criterio recogido en el Pliego de Cláusulas Administrativas Particulares que rige el contrato concesional, lo que va a suponer un devengo que conllevará unos ingresos elevados y beneficios para la Sociedad en los años de construcción de la infraestructura y en los primeros años de explotación y, por el contrario, menores ingresos en los años finales del periodo concesional, que es de 30 años. </w:t>
      </w:r>
    </w:p>
    <w:p w14:paraId="1161D639" w14:textId="77777777" w:rsidR="009B0B40" w:rsidRPr="00497AFA" w:rsidRDefault="009B0B40" w:rsidP="001E1C0D">
      <w:pPr>
        <w:spacing w:before="200" w:line="276" w:lineRule="auto"/>
        <w:jc w:val="both"/>
        <w:rPr>
          <w:rFonts w:ascii="Arial" w:hAnsi="Arial" w:cs="Arial"/>
        </w:rPr>
      </w:pPr>
      <w:r w:rsidRPr="00497AFA">
        <w:rPr>
          <w:rFonts w:ascii="Arial" w:hAnsi="Arial" w:cs="Arial"/>
        </w:rPr>
        <w:t xml:space="preserve">En el momento de contabilizar las facturas que la Sociedad emite a la Sociedad Concesionaria de la Zona Regable del Canal de Navarra, </w:t>
      </w:r>
      <w:proofErr w:type="spellStart"/>
      <w:r w:rsidRPr="00497AFA">
        <w:rPr>
          <w:rFonts w:ascii="Arial" w:hAnsi="Arial" w:cs="Arial"/>
        </w:rPr>
        <w:t>Aguacanal</w:t>
      </w:r>
      <w:proofErr w:type="spellEnd"/>
      <w:r w:rsidRPr="00497AFA">
        <w:rPr>
          <w:rFonts w:ascii="Arial" w:hAnsi="Arial" w:cs="Arial"/>
        </w:rPr>
        <w:t>, los ingresos se contabilizan en cuentas de periodificación a corto y largo plazo en función del momento esperado de devengo. Al cierre del ejercicio, la Sociedad contabiliza los ingresos correspondientes del año en la cuenta de pérdidas y ganancias.</w:t>
      </w:r>
    </w:p>
    <w:p w14:paraId="7163F3F0" w14:textId="77777777" w:rsidR="009B0B40" w:rsidRPr="00923660" w:rsidRDefault="009B0B40" w:rsidP="001E1C0D">
      <w:pPr>
        <w:spacing w:before="200" w:line="276" w:lineRule="auto"/>
        <w:jc w:val="both"/>
        <w:rPr>
          <w:rFonts w:ascii="Arial" w:hAnsi="Arial" w:cs="Arial"/>
        </w:rPr>
      </w:pPr>
      <w:r w:rsidRPr="00923660">
        <w:rPr>
          <w:rFonts w:ascii="Arial" w:hAnsi="Arial" w:cs="Arial"/>
        </w:rPr>
        <w:t>Dado que el periodo de imputación de estos ingresos es plurianual, se ha calculado el efecto financiero ajustando los importes de ingresos mediante la utilización de métodos actuariales e hipótesis de financiación insesgadas.</w:t>
      </w:r>
    </w:p>
    <w:p w14:paraId="229236F9" w14:textId="77777777" w:rsidR="009B0B40" w:rsidRPr="00AB7C5B" w:rsidRDefault="009B0B40" w:rsidP="001E1C0D">
      <w:pPr>
        <w:spacing w:before="200" w:line="276" w:lineRule="auto"/>
        <w:jc w:val="both"/>
        <w:rPr>
          <w:rFonts w:ascii="Arial" w:hAnsi="Arial" w:cs="Arial"/>
          <w:color w:val="005BA6"/>
        </w:rPr>
      </w:pPr>
      <w:r w:rsidRPr="00AB7C5B">
        <w:rPr>
          <w:rFonts w:ascii="Arial" w:hAnsi="Arial" w:cs="Arial"/>
          <w:color w:val="005BA6"/>
        </w:rPr>
        <w:t>Concesión Desarrollo de la Ampliación de la 1ª Fase de la Zona Regable del Canal de Navarra</w:t>
      </w:r>
    </w:p>
    <w:p w14:paraId="5E53C0CD" w14:textId="77777777" w:rsidR="0071358D" w:rsidRDefault="009B0B40" w:rsidP="001E1C0D">
      <w:pPr>
        <w:spacing w:before="200" w:line="276" w:lineRule="auto"/>
        <w:jc w:val="both"/>
        <w:rPr>
          <w:rFonts w:ascii="Arial" w:hAnsi="Arial" w:cs="Arial"/>
        </w:rPr>
      </w:pPr>
      <w:r>
        <w:rPr>
          <w:rFonts w:ascii="Arial" w:hAnsi="Arial" w:cs="Arial"/>
        </w:rPr>
        <w:t>Los ingresos por “Honorarios a Cargo del Concesionario” ascienden a un 7% de la suma de los presupuestos de ejecución por contrata (PEC) de los Proyectos Constructivos aprobados, objeto de construcción por la Sociedad Concesionaria</w:t>
      </w:r>
      <w:r w:rsidR="0071358D">
        <w:rPr>
          <w:rFonts w:ascii="Arial" w:hAnsi="Arial" w:cs="Arial"/>
        </w:rPr>
        <w:t>.</w:t>
      </w:r>
    </w:p>
    <w:p w14:paraId="4E186A37" w14:textId="77777777" w:rsidR="009B0B40" w:rsidRDefault="009B0B40" w:rsidP="001E1C0D">
      <w:pPr>
        <w:spacing w:before="200" w:line="276" w:lineRule="auto"/>
        <w:jc w:val="both"/>
        <w:rPr>
          <w:rFonts w:ascii="Arial" w:hAnsi="Arial" w:cs="Arial"/>
        </w:rPr>
      </w:pPr>
      <w:r w:rsidRPr="00497AFA">
        <w:rPr>
          <w:rFonts w:ascii="Arial" w:hAnsi="Arial" w:cs="Arial"/>
        </w:rPr>
        <w:t>Dichos ingresos se facturan por anticipado y tienen un desglose que conlleva distintos periodos de devengo, que se resumen en la siguiente tabla:</w:t>
      </w:r>
    </w:p>
    <w:p w14:paraId="19AF8F7B" w14:textId="77777777" w:rsidR="009B0B40" w:rsidRPr="00497AFA" w:rsidRDefault="009A7488" w:rsidP="00CF79F1">
      <w:pPr>
        <w:spacing w:line="360" w:lineRule="auto"/>
        <w:jc w:val="both"/>
        <w:rPr>
          <w:rFonts w:ascii="Arial" w:hAnsi="Arial" w:cs="Arial"/>
        </w:rPr>
      </w:pPr>
      <w:r>
        <w:rPr>
          <w:noProof/>
          <w:lang w:val="es-ES"/>
        </w:rPr>
        <w:drawing>
          <wp:inline distT="0" distB="0" distL="0" distR="0" wp14:anchorId="44823277" wp14:editId="51D6E7E8">
            <wp:extent cx="5711825" cy="2268220"/>
            <wp:effectExtent l="19050" t="0" r="317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srcRect/>
                    <a:stretch>
                      <a:fillRect/>
                    </a:stretch>
                  </pic:blipFill>
                  <pic:spPr bwMode="auto">
                    <a:xfrm>
                      <a:off x="0" y="0"/>
                      <a:ext cx="5711825" cy="2268220"/>
                    </a:xfrm>
                    <a:prstGeom prst="rect">
                      <a:avLst/>
                    </a:prstGeom>
                    <a:noFill/>
                    <a:ln w="9525">
                      <a:noFill/>
                      <a:miter lim="800000"/>
                      <a:headEnd/>
                      <a:tailEnd/>
                    </a:ln>
                  </pic:spPr>
                </pic:pic>
              </a:graphicData>
            </a:graphic>
          </wp:inline>
        </w:drawing>
      </w:r>
    </w:p>
    <w:p w14:paraId="7F2030CE" w14:textId="77777777" w:rsidR="009B0B40" w:rsidRDefault="009B0B40" w:rsidP="00406F5A">
      <w:pPr>
        <w:spacing w:line="276" w:lineRule="auto"/>
        <w:jc w:val="both"/>
        <w:rPr>
          <w:rFonts w:ascii="Arial" w:hAnsi="Arial" w:cs="Arial"/>
        </w:rPr>
      </w:pPr>
      <w:r>
        <w:rPr>
          <w:rFonts w:ascii="Arial" w:hAnsi="Arial" w:cs="Arial"/>
        </w:rPr>
        <w:t>El Pliego de Cláusulas Particulares del contrato incluye, a cargo del concesionario, unos gastos por operaciones preparatorias técnicas y administrativas y unos honorarios técnicos que debe satisfacer el adjudicatario de dicho contrato.</w:t>
      </w:r>
    </w:p>
    <w:p w14:paraId="10FD47D9" w14:textId="77777777" w:rsidR="00923660" w:rsidRDefault="00923660" w:rsidP="001E1C0D">
      <w:pPr>
        <w:spacing w:before="200" w:line="276" w:lineRule="auto"/>
        <w:jc w:val="both"/>
        <w:rPr>
          <w:rFonts w:ascii="Arial" w:hAnsi="Arial" w:cs="Arial"/>
        </w:rPr>
      </w:pPr>
      <w:r w:rsidRPr="00923660">
        <w:rPr>
          <w:rFonts w:ascii="Arial" w:hAnsi="Arial" w:cs="Arial"/>
        </w:rPr>
        <w:t>Dado que el periodo de imputación de estos ingresos es plurianual, se ha calculado el efecto financiero ajustando los importes de ingresos mediante la utilización de métodos actuariales e hipóte</w:t>
      </w:r>
      <w:r>
        <w:rPr>
          <w:rFonts w:ascii="Arial" w:hAnsi="Arial" w:cs="Arial"/>
        </w:rPr>
        <w:t>sis de financiación insesgadas.</w:t>
      </w:r>
    </w:p>
    <w:p w14:paraId="5FBA10CB" w14:textId="77777777" w:rsidR="00F14376" w:rsidRPr="00497AFA" w:rsidRDefault="00F52C8E" w:rsidP="001E1C0D">
      <w:pPr>
        <w:spacing w:before="200" w:line="276" w:lineRule="auto"/>
        <w:jc w:val="both"/>
        <w:rPr>
          <w:rFonts w:ascii="Arial" w:hAnsi="Arial" w:cs="Arial"/>
        </w:rPr>
      </w:pPr>
      <w:r>
        <w:rPr>
          <w:rFonts w:ascii="Arial" w:hAnsi="Arial" w:cs="Arial"/>
        </w:rPr>
        <w:t xml:space="preserve">La Sociedad, actúa como intermediario entre la Administración y las Sociedades Concesionarias en la facturación de los cánones que se derivan de los contratos concesionales. Dichas facturaciones no tienen impacto en la cuenta de Pérdidas y </w:t>
      </w:r>
      <w:r w:rsidR="00464258">
        <w:rPr>
          <w:rFonts w:ascii="Arial" w:hAnsi="Arial" w:cs="Arial"/>
        </w:rPr>
        <w:t>Ganancias</w:t>
      </w:r>
      <w:r w:rsidR="00014E63">
        <w:rPr>
          <w:rFonts w:ascii="Arial" w:hAnsi="Arial" w:cs="Arial"/>
        </w:rPr>
        <w:t xml:space="preserve"> y los saldos que al cierre del ejercicio se mantienen tanto con la Administración y las Sociedades Concesionarias se recogen bajo los epígrafes de “Otros Activos Financieros”  y “Otros Pasivos Financieros”.</w:t>
      </w:r>
    </w:p>
    <w:p w14:paraId="00232819" w14:textId="77777777" w:rsidR="009B0B40" w:rsidRDefault="009B0B40" w:rsidP="001E1C0D">
      <w:pPr>
        <w:pStyle w:val="Ttulo2"/>
        <w:spacing w:before="200" w:line="276" w:lineRule="auto"/>
      </w:pPr>
      <w:r>
        <w:t xml:space="preserve">4.9. </w:t>
      </w:r>
      <w:r w:rsidRPr="00580667">
        <w:t xml:space="preserve"> Provisiones y contingencias</w:t>
      </w:r>
    </w:p>
    <w:p w14:paraId="5FC5ED38" w14:textId="77777777" w:rsidR="009B0B40" w:rsidRPr="006C5387" w:rsidRDefault="009B0B40" w:rsidP="001E1C0D">
      <w:pPr>
        <w:pStyle w:val="NormalWeb"/>
        <w:spacing w:before="200" w:beforeAutospacing="0" w:after="0" w:afterAutospacing="0" w:line="276" w:lineRule="auto"/>
        <w:jc w:val="both"/>
        <w:rPr>
          <w:rFonts w:ascii="Arial" w:hAnsi="Arial" w:cs="Arial"/>
          <w:sz w:val="20"/>
          <w:szCs w:val="20"/>
        </w:rPr>
      </w:pPr>
      <w:r w:rsidRPr="006C5387">
        <w:rPr>
          <w:rFonts w:ascii="Arial" w:hAnsi="Arial" w:cs="Arial"/>
          <w:sz w:val="20"/>
          <w:szCs w:val="20"/>
        </w:rPr>
        <w:t xml:space="preserve">Los pasivos que resultan indeterminados respecto a su importe o a la fecha en que se cancelarán se reconocen en el balance como provisiones cuando la Sociedad tiene una obligación actual (ya sea por una disposición legal, contractual o por una obligación implícita o tácita), surgida como consecuencia de sucesos pasados, que se estima probable que suponga una salida de recursos para su liquidación y que es cuantificable. </w:t>
      </w:r>
    </w:p>
    <w:p w14:paraId="472A68A4" w14:textId="77777777" w:rsidR="009B0B40" w:rsidRPr="00AE2450" w:rsidRDefault="009B0B40" w:rsidP="001E1C0D">
      <w:pPr>
        <w:pStyle w:val="NormalWeb"/>
        <w:spacing w:before="200" w:beforeAutospacing="0" w:after="0" w:afterAutospacing="0" w:line="276" w:lineRule="auto"/>
        <w:jc w:val="both"/>
        <w:rPr>
          <w:rFonts w:ascii="Arial" w:hAnsi="Arial" w:cs="Arial"/>
          <w:sz w:val="20"/>
          <w:szCs w:val="20"/>
        </w:rPr>
      </w:pPr>
      <w:r w:rsidRPr="006C5387">
        <w:rPr>
          <w:rFonts w:ascii="Arial" w:hAnsi="Arial" w:cs="Arial"/>
          <w:sz w:val="20"/>
          <w:szCs w:val="20"/>
        </w:rPr>
        <w:t>Las provisiones se valoran por el valor actual de la mejor estimación posible del importe necesario para cancelar o transferir a un tercero la obligación, registrándose los ajustes que surjan por la actualización de la provisión como un gasto financiero conforme se van devengando. Cuando se trata de provisiones con vencimiento inferior o igual a un año, y el efecto financiero no es significativo, no se lleva a cabo ningún tipo de descuento. Las provisiones se revisan a la fecha de cierre de cada balance y son ajustadas con el objetivo de reflejar la mejor estimación actual del pasivo correspondiente en cada momento.</w:t>
      </w:r>
    </w:p>
    <w:p w14:paraId="40FD4800" w14:textId="77777777" w:rsidR="009B0B40" w:rsidRDefault="009B0B40" w:rsidP="001E1C0D">
      <w:pPr>
        <w:pStyle w:val="NormalWeb"/>
        <w:spacing w:before="200" w:beforeAutospacing="0" w:after="0" w:afterAutospacing="0" w:line="276" w:lineRule="auto"/>
        <w:jc w:val="both"/>
        <w:rPr>
          <w:rFonts w:ascii="Arial" w:hAnsi="Arial" w:cs="Arial"/>
          <w:sz w:val="20"/>
          <w:szCs w:val="20"/>
        </w:rPr>
      </w:pPr>
      <w:r w:rsidRPr="006C5387">
        <w:rPr>
          <w:rFonts w:ascii="Arial" w:hAnsi="Arial" w:cs="Arial"/>
          <w:sz w:val="20"/>
          <w:szCs w:val="20"/>
        </w:rPr>
        <w:t xml:space="preserve">Las compensaciones a recibir de un tercero en el momento de liquidar las provisiones, se reconocen como un activo, sin minorar el importe de la provisión, siempre que no existan dudas de que dicho reembolso va a ser recibido, y sin exceder del importe de la obligación registrada. Cuando existe un vínculo legal o contractual de exteriorización del riesgo, en virtud del cual la Sociedad no esté obligada a responder del mismo, el importe de dicha compensación se deduce del importe de la provisión. </w:t>
      </w:r>
    </w:p>
    <w:p w14:paraId="4FBFFB78" w14:textId="77777777" w:rsidR="009B0B40" w:rsidRDefault="009B0B40" w:rsidP="001E1C0D">
      <w:pPr>
        <w:pStyle w:val="NormalWeb"/>
        <w:spacing w:before="200" w:beforeAutospacing="0" w:after="0" w:afterAutospacing="0" w:line="276" w:lineRule="auto"/>
        <w:jc w:val="both"/>
        <w:rPr>
          <w:rFonts w:ascii="Arial" w:hAnsi="Arial" w:cs="Arial"/>
          <w:sz w:val="20"/>
          <w:szCs w:val="20"/>
        </w:rPr>
      </w:pPr>
      <w:r w:rsidRPr="006C5387">
        <w:rPr>
          <w:rFonts w:ascii="Arial" w:hAnsi="Arial" w:cs="Arial"/>
          <w:sz w:val="20"/>
          <w:szCs w:val="20"/>
        </w:rPr>
        <w:t xml:space="preserve">Por otra parte, se consideran pasivos contingentes aquellas posibles obligaciones, surgidas como consecuencia de sucesos pasados, cuya materialización está condicionada a que ocurran eventos futuros que no están enteramente bajo el control de la Sociedad y aquellas obligaciones presentes, surgidas como consecuencia de sucesos pasados, para las que no es probable que haya una salida de recursos para su liquidación o que no se pueden valorar con suficiente fiabilidad. Estos pasivos no son objeto de registro contable, detallándose los mismos en la memoria, excepto cuando la salida de recursos es remota. </w:t>
      </w:r>
    </w:p>
    <w:p w14:paraId="131F11C6" w14:textId="77777777" w:rsidR="009B0B40" w:rsidRPr="00F27AF2" w:rsidRDefault="009B0B40" w:rsidP="001E1C0D">
      <w:pPr>
        <w:pStyle w:val="Ttulo2"/>
        <w:spacing w:before="200" w:line="276" w:lineRule="auto"/>
      </w:pPr>
      <w:r w:rsidRPr="00580667">
        <w:rPr>
          <w:rFonts w:ascii="Arial Narrow" w:hAnsi="Arial Narrow"/>
          <w:sz w:val="22"/>
          <w:szCs w:val="22"/>
        </w:rPr>
        <w:t xml:space="preserve"> </w:t>
      </w:r>
      <w:r w:rsidRPr="00F27AF2">
        <w:t>4.10</w:t>
      </w:r>
      <w:r w:rsidRPr="00F27AF2">
        <w:tab/>
      </w:r>
      <w:r>
        <w:t>.</w:t>
      </w:r>
      <w:r w:rsidRPr="00F27AF2">
        <w:t>Clasificación de los activos y pasivos entre corrientes y no corrientes</w:t>
      </w:r>
    </w:p>
    <w:p w14:paraId="29F990FA" w14:textId="77777777" w:rsidR="009B0B40" w:rsidRPr="00F27AF2" w:rsidRDefault="009B0B40" w:rsidP="001E1C0D">
      <w:pPr>
        <w:widowControl w:val="0"/>
        <w:autoSpaceDE w:val="0"/>
        <w:autoSpaceDN w:val="0"/>
        <w:adjustRightInd w:val="0"/>
        <w:spacing w:before="200" w:line="276" w:lineRule="auto"/>
        <w:jc w:val="both"/>
        <w:rPr>
          <w:rFonts w:ascii="Arial" w:hAnsi="Arial" w:cs="Arial"/>
          <w:color w:val="000000"/>
        </w:rPr>
      </w:pPr>
      <w:r w:rsidRPr="00F27AF2">
        <w:rPr>
          <w:rFonts w:ascii="Arial" w:hAnsi="Arial" w:cs="Arial"/>
          <w:color w:val="000000"/>
        </w:rPr>
        <w:t>Los activos y pasivos se presentan en el balance clasificados entre corrientes y no corrientes. A estos efectos, los activos y pasivos se clasifican como corrientes cuando están vinculados al ciclo normal de explotación de la Sociedad y se esperan vender, consumir, realizar o liquidar en el transcurso del mismo son diferentes a los anteriores y su vencimiento, enajenación o realización se espera que se produzca en el plazo máximo de un año; se mantienen con fines de negociación o se trata de efectivo y otros activos líquidos equivalentes cuya utilización no está restringida por un periodo superior a un año. En caso contrario se clasifican como activos y pasivos no corrientes.</w:t>
      </w:r>
    </w:p>
    <w:p w14:paraId="663B9B90" w14:textId="77777777" w:rsidR="009B0B40" w:rsidRDefault="009B0B40" w:rsidP="001E1C0D">
      <w:pPr>
        <w:pStyle w:val="Ttulo2"/>
        <w:spacing w:before="200" w:line="276" w:lineRule="auto"/>
      </w:pPr>
      <w:r>
        <w:t>4.11.</w:t>
      </w:r>
      <w:r>
        <w:tab/>
      </w:r>
      <w:r w:rsidRPr="00580667">
        <w:t>Elementos patrimoniales de naturaleza medioambiental</w:t>
      </w:r>
      <w:r>
        <w:t xml:space="preserve"> </w:t>
      </w:r>
    </w:p>
    <w:p w14:paraId="17CBCDDD" w14:textId="77777777" w:rsidR="009B0B40" w:rsidRPr="00406F5A" w:rsidRDefault="009B0B40" w:rsidP="001E1C0D">
      <w:pPr>
        <w:pStyle w:val="Sangradetextonormal"/>
        <w:spacing w:before="200" w:line="276" w:lineRule="auto"/>
        <w:ind w:firstLine="0"/>
        <w:rPr>
          <w:rFonts w:ascii="Arial" w:hAnsi="Arial" w:cs="Arial"/>
        </w:rPr>
      </w:pPr>
      <w:r w:rsidRPr="00406F5A">
        <w:rPr>
          <w:rFonts w:ascii="Arial" w:hAnsi="Arial" w:cs="Arial"/>
        </w:rPr>
        <w:t>La sociedad, tal y como se desprende de la Nota 1, desarrolla sus actividades empresariales en relación directa con la mejora y conservación del Medio Ambiente.</w:t>
      </w:r>
    </w:p>
    <w:p w14:paraId="00A55601" w14:textId="77777777" w:rsidR="009B0B40" w:rsidRPr="00406F5A" w:rsidRDefault="009B0B40" w:rsidP="001E1C0D">
      <w:pPr>
        <w:pStyle w:val="Sangradetextonormal"/>
        <w:spacing w:before="200" w:line="276" w:lineRule="auto"/>
        <w:ind w:firstLine="0"/>
        <w:rPr>
          <w:rFonts w:ascii="Arial" w:hAnsi="Arial" w:cs="Arial"/>
        </w:rPr>
      </w:pPr>
      <w:r w:rsidRPr="00406F5A">
        <w:rPr>
          <w:rFonts w:ascii="Arial" w:hAnsi="Arial" w:cs="Arial"/>
        </w:rPr>
        <w:t>Los costos incurridos en la adquisición de sistemas, equipos e instalaciones cuyo objeto sea la eliminación, limitación o el control de los posibles impactos que pudiera ocasionar el normal desarrollo de la actividad de la sociedad sobre el Medio Ambiente, se consideran inversiones en inmovilizado.</w:t>
      </w:r>
    </w:p>
    <w:p w14:paraId="61E1191C" w14:textId="77777777" w:rsidR="009B0B40" w:rsidRPr="00406F5A" w:rsidRDefault="009B0B40" w:rsidP="001E1C0D">
      <w:pPr>
        <w:spacing w:before="200" w:line="276" w:lineRule="auto"/>
        <w:jc w:val="both"/>
        <w:rPr>
          <w:rFonts w:ascii="Arial" w:hAnsi="Arial" w:cs="Arial"/>
        </w:rPr>
      </w:pPr>
      <w:r w:rsidRPr="00406F5A">
        <w:rPr>
          <w:rFonts w:ascii="Arial" w:hAnsi="Arial" w:cs="Arial"/>
        </w:rPr>
        <w:t>El resto de los gastos relacionados con el Medio Ambiente, distintos de los realizados para la adquisición de elementos de inmovilizado, se consideran gastos del ejercicio.</w:t>
      </w:r>
    </w:p>
    <w:p w14:paraId="138D4295" w14:textId="77777777" w:rsidR="009B0B40" w:rsidRDefault="009B0B40" w:rsidP="001E1C0D">
      <w:pPr>
        <w:pStyle w:val="Ttulo2"/>
        <w:spacing w:before="200" w:line="276" w:lineRule="auto"/>
      </w:pPr>
      <w:r>
        <w:t>4.1</w:t>
      </w:r>
      <w:r w:rsidR="0071358D">
        <w:t>2</w:t>
      </w:r>
      <w:r>
        <w:t>.</w:t>
      </w:r>
      <w:r w:rsidRPr="00580667">
        <w:t xml:space="preserve"> </w:t>
      </w:r>
      <w:r>
        <w:tab/>
      </w:r>
      <w:r w:rsidRPr="00580667">
        <w:t>Subvenciones, donaciones y legados</w:t>
      </w:r>
    </w:p>
    <w:p w14:paraId="2D40134A" w14:textId="77777777" w:rsidR="009B0B40" w:rsidRPr="00FB783A" w:rsidRDefault="009B0B40" w:rsidP="001E1C0D">
      <w:pPr>
        <w:spacing w:before="200" w:line="276" w:lineRule="auto"/>
        <w:jc w:val="both"/>
        <w:rPr>
          <w:rFonts w:ascii="Arial" w:hAnsi="Arial" w:cs="Arial"/>
        </w:rPr>
      </w:pPr>
      <w:r w:rsidRPr="00FB783A">
        <w:rPr>
          <w:rFonts w:ascii="Arial" w:hAnsi="Arial" w:cs="Arial"/>
        </w:rPr>
        <w:t>Las subvenciones, donaciones y legados de carácter monetario de valoran por el valor razonable del importe concedido</w:t>
      </w:r>
    </w:p>
    <w:p w14:paraId="0E30CA77" w14:textId="77777777" w:rsidR="009B0B40" w:rsidRPr="00FB783A" w:rsidRDefault="009B0B40" w:rsidP="001E1C0D">
      <w:pPr>
        <w:spacing w:before="200" w:line="276" w:lineRule="auto"/>
        <w:jc w:val="both"/>
        <w:rPr>
          <w:rFonts w:ascii="Arial" w:hAnsi="Arial" w:cs="Arial"/>
        </w:rPr>
      </w:pPr>
      <w:r w:rsidRPr="00FB783A">
        <w:rPr>
          <w:rFonts w:ascii="Arial" w:hAnsi="Arial" w:cs="Arial"/>
        </w:rPr>
        <w:t>Las subvenciones recibidas de la entidad pública dominante, en este caso Gobierno de Navarra, para financiar las actividades de interés público o general  que la Sociedad desarrolla se imputan en la cuenta de pérdidas y ganancias como ingreso del ejercicio.</w:t>
      </w:r>
    </w:p>
    <w:p w14:paraId="00D3DCC6" w14:textId="77777777" w:rsidR="009B0B40" w:rsidRDefault="009B0B40" w:rsidP="001E1C0D">
      <w:pPr>
        <w:spacing w:before="200" w:line="276" w:lineRule="auto"/>
        <w:jc w:val="both"/>
        <w:rPr>
          <w:rFonts w:ascii="Arial" w:hAnsi="Arial" w:cs="Arial"/>
        </w:rPr>
      </w:pPr>
      <w:r w:rsidRPr="00FB783A">
        <w:rPr>
          <w:rFonts w:ascii="Arial" w:hAnsi="Arial" w:cs="Arial"/>
        </w:rPr>
        <w:t>Las transferencias del Gobierno de Navarra, propietario de la Corporación Pública Empresarial de Navarra, S.L.U</w:t>
      </w:r>
      <w:r>
        <w:rPr>
          <w:rFonts w:ascii="Arial" w:hAnsi="Arial" w:cs="Arial"/>
        </w:rPr>
        <w:t>.,</w:t>
      </w:r>
      <w:r w:rsidRPr="00FB783A">
        <w:rPr>
          <w:rFonts w:ascii="Arial" w:hAnsi="Arial" w:cs="Arial"/>
        </w:rPr>
        <w:t xml:space="preserve"> accionista único de la Sociedad, con finalidad indeterminada, para financiar déficits de explotación o gastos generales de funcionamiento de la empresa, no asociados con ninguna actividad en concreto sino con el conjunto de las actividades que realiza no constituyen ingresos debiéndose registrar directamente en los fondos propios.</w:t>
      </w:r>
    </w:p>
    <w:p w14:paraId="5AC94B7B" w14:textId="77777777" w:rsidR="009B0B40" w:rsidRPr="00D7101E" w:rsidRDefault="009B0B40" w:rsidP="001E1C0D">
      <w:pPr>
        <w:spacing w:before="200" w:line="276" w:lineRule="auto"/>
        <w:jc w:val="both"/>
        <w:rPr>
          <w:rFonts w:ascii="Arial" w:hAnsi="Arial" w:cs="Arial"/>
        </w:rPr>
      </w:pPr>
      <w:r>
        <w:rPr>
          <w:rFonts w:ascii="Arial" w:hAnsi="Arial" w:cs="Arial"/>
        </w:rPr>
        <w:t xml:space="preserve">Las subvenciones de capital recibidas figuran en el Patrimonio Neto y se imputan al resultado del ejercicio en función de la vida útil estimada de los bienes para los que van destinadas. </w:t>
      </w:r>
    </w:p>
    <w:p w14:paraId="77618652" w14:textId="77777777" w:rsidR="009B0B40" w:rsidRDefault="009B0B40" w:rsidP="001E1C0D">
      <w:pPr>
        <w:pStyle w:val="Ttulo2"/>
        <w:spacing w:before="200" w:line="276" w:lineRule="auto"/>
      </w:pPr>
      <w:r>
        <w:t>4.1</w:t>
      </w:r>
      <w:r w:rsidR="0071358D">
        <w:t>3</w:t>
      </w:r>
      <w:r>
        <w:t>.</w:t>
      </w:r>
      <w:r>
        <w:tab/>
      </w:r>
      <w:r w:rsidRPr="00580667">
        <w:t>Criterios empleados en transacciones entre partes vinculadas</w:t>
      </w:r>
    </w:p>
    <w:p w14:paraId="736AFEE2" w14:textId="77777777" w:rsidR="009B0B40" w:rsidRPr="00A95BF6" w:rsidRDefault="009B0B40" w:rsidP="001E1C0D">
      <w:pPr>
        <w:spacing w:before="200" w:line="276" w:lineRule="auto"/>
        <w:jc w:val="both"/>
        <w:rPr>
          <w:rFonts w:ascii="Arial" w:hAnsi="Arial" w:cs="Arial"/>
        </w:rPr>
      </w:pPr>
      <w:r w:rsidRPr="00A95BF6">
        <w:rPr>
          <w:rFonts w:ascii="Arial" w:hAnsi="Arial" w:cs="Arial"/>
        </w:rPr>
        <w:t xml:space="preserve">Dado que </w:t>
      </w:r>
      <w:r w:rsidR="0019396D">
        <w:rPr>
          <w:rFonts w:ascii="Arial" w:hAnsi="Arial" w:cs="Arial"/>
        </w:rPr>
        <w:t xml:space="preserve">parte del </w:t>
      </w:r>
      <w:r w:rsidRPr="00A95BF6">
        <w:rPr>
          <w:rFonts w:ascii="Arial" w:hAnsi="Arial" w:cs="Arial"/>
        </w:rPr>
        <w:t xml:space="preserve">objeto de la Sociedad es la prestación de servicios a la Administración de la Comunidad Foral y a entidades vinculadas a ésta y no la obtención de lucro, trata de equilibrar su presupuesto de ingresos y gastos con el fin de no generar beneficios ni pérdidas importantes. </w:t>
      </w:r>
    </w:p>
    <w:p w14:paraId="6AC1111F" w14:textId="77777777" w:rsidR="009B0B40" w:rsidRPr="008C3DDD" w:rsidRDefault="009B0B40" w:rsidP="001E1C0D">
      <w:pPr>
        <w:pStyle w:val="Ttulo2"/>
        <w:spacing w:before="200" w:line="276" w:lineRule="auto"/>
      </w:pPr>
      <w:r>
        <w:t>4.1</w:t>
      </w:r>
      <w:r w:rsidR="0071358D">
        <w:t>4</w:t>
      </w:r>
      <w:r>
        <w:t>.</w:t>
      </w:r>
      <w:r w:rsidRPr="008C3DDD">
        <w:tab/>
        <w:t>Indemnizaciones por despido</w:t>
      </w:r>
    </w:p>
    <w:p w14:paraId="0BBAB732" w14:textId="77777777" w:rsidR="009B0B40" w:rsidRDefault="009B0B40" w:rsidP="001E1C0D">
      <w:pPr>
        <w:spacing w:before="200" w:line="276" w:lineRule="auto"/>
        <w:jc w:val="both"/>
        <w:rPr>
          <w:rFonts w:ascii="Arial" w:hAnsi="Arial" w:cs="Arial"/>
        </w:rPr>
      </w:pPr>
      <w:r w:rsidRPr="008C3DDD">
        <w:rPr>
          <w:rFonts w:ascii="Arial" w:hAnsi="Arial" w:cs="Arial"/>
        </w:rPr>
        <w:t xml:space="preserve">De acuerdo con la legislación laboral vigente, la Sociedad está obligada al pago de indemnizaciones a aquellos empleados con los que, en determinadas condiciones, rescinda sus relaciones laborales. Las indemnizaciones por despido susceptibles de cuantificación razonable se registran como gasto del ejercicio en el que existe una expectativa válida, creada por la Sociedad frente a los terceros afectados. </w:t>
      </w:r>
    </w:p>
    <w:p w14:paraId="15129FFB" w14:textId="77777777" w:rsidR="00710036" w:rsidRDefault="00710036">
      <w:pPr>
        <w:rPr>
          <w:rFonts w:ascii="EurostileT" w:hAnsi="EurostileT"/>
          <w:b/>
          <w:bCs/>
          <w:color w:val="005BA6"/>
          <w:kern w:val="32"/>
          <w:sz w:val="28"/>
          <w:szCs w:val="28"/>
        </w:rPr>
      </w:pPr>
      <w:bookmarkStart w:id="7" w:name="_Toc350855614"/>
    </w:p>
    <w:p w14:paraId="0690171C" w14:textId="77777777" w:rsidR="00747E00" w:rsidRDefault="00747E00">
      <w:pPr>
        <w:rPr>
          <w:rFonts w:ascii="EurostileT" w:hAnsi="EurostileT"/>
          <w:b/>
          <w:bCs/>
          <w:color w:val="005BA6"/>
          <w:kern w:val="32"/>
          <w:sz w:val="28"/>
          <w:szCs w:val="28"/>
        </w:rPr>
      </w:pPr>
      <w:r>
        <w:rPr>
          <w:rFonts w:ascii="EurostileT" w:hAnsi="EurostileT"/>
          <w:color w:val="005BA6"/>
          <w:sz w:val="28"/>
          <w:szCs w:val="28"/>
        </w:rPr>
        <w:br w:type="page"/>
      </w:r>
    </w:p>
    <w:p w14:paraId="60D3461E" w14:textId="77777777" w:rsidR="009B0B40" w:rsidRPr="0013770B" w:rsidRDefault="009B0B40" w:rsidP="00406F5A">
      <w:pPr>
        <w:pStyle w:val="Ttulo1"/>
        <w:spacing w:line="276" w:lineRule="auto"/>
        <w:jc w:val="both"/>
        <w:rPr>
          <w:rFonts w:ascii="EurostileT" w:hAnsi="EurostileT"/>
          <w:color w:val="005BA6"/>
          <w:sz w:val="28"/>
          <w:szCs w:val="28"/>
        </w:rPr>
      </w:pPr>
      <w:r w:rsidRPr="0013770B">
        <w:rPr>
          <w:rFonts w:ascii="EurostileT" w:hAnsi="EurostileT"/>
          <w:color w:val="005BA6"/>
          <w:sz w:val="28"/>
          <w:szCs w:val="28"/>
        </w:rPr>
        <w:t>5. INMOVILIZADO MATERIAL</w:t>
      </w:r>
      <w:bookmarkEnd w:id="7"/>
    </w:p>
    <w:p w14:paraId="2435C88A" w14:textId="77777777" w:rsidR="009B0B40" w:rsidRDefault="009B0B40" w:rsidP="001E1C0D">
      <w:pPr>
        <w:spacing w:before="200" w:line="276" w:lineRule="auto"/>
        <w:jc w:val="both"/>
        <w:rPr>
          <w:rFonts w:ascii="Arial" w:hAnsi="Arial" w:cs="Arial"/>
        </w:rPr>
      </w:pPr>
      <w:r>
        <w:rPr>
          <w:rFonts w:ascii="Arial" w:hAnsi="Arial" w:cs="Arial"/>
        </w:rPr>
        <w:t xml:space="preserve">El movimiento del inmovilizado material durante los ejercicios </w:t>
      </w:r>
      <w:r w:rsidR="007F2BB6">
        <w:rPr>
          <w:rFonts w:ascii="Arial" w:hAnsi="Arial" w:cs="Arial"/>
        </w:rPr>
        <w:t>201</w:t>
      </w:r>
      <w:r w:rsidR="008A620B">
        <w:rPr>
          <w:rFonts w:ascii="Arial" w:hAnsi="Arial" w:cs="Arial"/>
        </w:rPr>
        <w:t>9</w:t>
      </w:r>
      <w:r w:rsidR="007F2BB6">
        <w:rPr>
          <w:rFonts w:ascii="Arial" w:hAnsi="Arial" w:cs="Arial"/>
        </w:rPr>
        <w:t xml:space="preserve"> y 201</w:t>
      </w:r>
      <w:r w:rsidR="008A620B">
        <w:rPr>
          <w:rFonts w:ascii="Arial" w:hAnsi="Arial" w:cs="Arial"/>
        </w:rPr>
        <w:t>8</w:t>
      </w:r>
      <w:r>
        <w:rPr>
          <w:rFonts w:ascii="Arial" w:hAnsi="Arial" w:cs="Arial"/>
        </w:rPr>
        <w:t xml:space="preserve"> se detalla en el siguiente cuadro:</w:t>
      </w:r>
    </w:p>
    <w:p w14:paraId="3E5B0F3B" w14:textId="77777777" w:rsidR="009B0B40" w:rsidRDefault="006343DB" w:rsidP="00175C8E">
      <w:pPr>
        <w:spacing w:line="360" w:lineRule="auto"/>
        <w:ind w:firstLine="142"/>
        <w:jc w:val="center"/>
        <w:rPr>
          <w:rFonts w:ascii="Arial" w:hAnsi="Arial" w:cs="Arial"/>
        </w:rPr>
      </w:pPr>
      <w:r w:rsidRPr="006343DB">
        <w:rPr>
          <w:noProof/>
          <w:lang w:val="es-ES"/>
        </w:rPr>
        <w:drawing>
          <wp:inline distT="0" distB="0" distL="0" distR="0" wp14:anchorId="3C8B7F9B" wp14:editId="4EAB2C5B">
            <wp:extent cx="4631377" cy="2871262"/>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35106" cy="2873574"/>
                    </a:xfrm>
                    <a:prstGeom prst="rect">
                      <a:avLst/>
                    </a:prstGeom>
                    <a:noFill/>
                    <a:ln>
                      <a:noFill/>
                    </a:ln>
                  </pic:spPr>
                </pic:pic>
              </a:graphicData>
            </a:graphic>
          </wp:inline>
        </w:drawing>
      </w:r>
    </w:p>
    <w:p w14:paraId="46640DA5" w14:textId="77777777" w:rsidR="00D22795" w:rsidRDefault="00D22795" w:rsidP="00406F5A">
      <w:pPr>
        <w:pStyle w:val="Textoindependiente"/>
        <w:tabs>
          <w:tab w:val="clear" w:pos="720"/>
          <w:tab w:val="clear" w:pos="4320"/>
        </w:tabs>
        <w:spacing w:line="276" w:lineRule="auto"/>
        <w:rPr>
          <w:rFonts w:ascii="Arial" w:hAnsi="Arial" w:cs="Arial"/>
        </w:rPr>
      </w:pPr>
    </w:p>
    <w:p w14:paraId="076C4A29" w14:textId="77777777" w:rsidR="000E2CEB" w:rsidRDefault="000E2CEB" w:rsidP="00406F5A">
      <w:pPr>
        <w:pStyle w:val="Textoindependiente"/>
        <w:tabs>
          <w:tab w:val="clear" w:pos="720"/>
          <w:tab w:val="clear" w:pos="4320"/>
        </w:tabs>
        <w:spacing w:line="276" w:lineRule="auto"/>
        <w:rPr>
          <w:rFonts w:ascii="Arial" w:hAnsi="Arial" w:cs="Arial"/>
        </w:rPr>
      </w:pPr>
    </w:p>
    <w:p w14:paraId="6065CADA" w14:textId="77777777" w:rsidR="009B0B40" w:rsidRPr="00406F5A" w:rsidRDefault="009B0B40" w:rsidP="00406F5A">
      <w:pPr>
        <w:pStyle w:val="Textoindependiente"/>
        <w:tabs>
          <w:tab w:val="clear" w:pos="720"/>
          <w:tab w:val="clear" w:pos="4320"/>
        </w:tabs>
        <w:spacing w:line="276" w:lineRule="auto"/>
        <w:rPr>
          <w:rFonts w:ascii="Arial" w:hAnsi="Arial" w:cs="Arial"/>
        </w:rPr>
      </w:pPr>
      <w:r w:rsidRPr="00406F5A">
        <w:rPr>
          <w:rFonts w:ascii="Arial" w:hAnsi="Arial" w:cs="Arial"/>
        </w:rPr>
        <w:t>La cifra de elementos totalmente amortizados en uso al cierre del ejercicio 201</w:t>
      </w:r>
      <w:r w:rsidR="00BA3781">
        <w:rPr>
          <w:rFonts w:ascii="Arial" w:hAnsi="Arial" w:cs="Arial"/>
        </w:rPr>
        <w:t>9</w:t>
      </w:r>
      <w:r w:rsidRPr="00406F5A">
        <w:rPr>
          <w:rFonts w:ascii="Arial" w:hAnsi="Arial" w:cs="Arial"/>
        </w:rPr>
        <w:t xml:space="preserve"> asciende a </w:t>
      </w:r>
      <w:r w:rsidR="00BA3781">
        <w:rPr>
          <w:rFonts w:ascii="Arial" w:hAnsi="Arial" w:cs="Arial"/>
        </w:rPr>
        <w:t>6.253.694,44</w:t>
      </w:r>
      <w:r w:rsidRPr="00406F5A">
        <w:rPr>
          <w:rFonts w:ascii="Arial" w:hAnsi="Arial" w:cs="Arial"/>
        </w:rPr>
        <w:t xml:space="preserve"> euros. De este importe, 634.397,10 euros corresponden a construcciones y el resto, esto es </w:t>
      </w:r>
      <w:r w:rsidR="00BA3781">
        <w:rPr>
          <w:rFonts w:ascii="Arial" w:hAnsi="Arial" w:cs="Arial"/>
        </w:rPr>
        <w:t>5.619.297,34</w:t>
      </w:r>
      <w:r w:rsidR="00F6010A" w:rsidRPr="00406F5A">
        <w:rPr>
          <w:rFonts w:ascii="Arial" w:hAnsi="Arial" w:cs="Arial"/>
        </w:rPr>
        <w:t xml:space="preserve"> </w:t>
      </w:r>
      <w:r w:rsidRPr="00406F5A">
        <w:rPr>
          <w:rFonts w:ascii="Arial" w:hAnsi="Arial" w:cs="Arial"/>
        </w:rPr>
        <w:t>euros, al resto del inmovilizado material. En 201</w:t>
      </w:r>
      <w:r w:rsidR="00BA3781">
        <w:rPr>
          <w:rFonts w:ascii="Arial" w:hAnsi="Arial" w:cs="Arial"/>
        </w:rPr>
        <w:t>8</w:t>
      </w:r>
      <w:r w:rsidRPr="00406F5A">
        <w:rPr>
          <w:rFonts w:ascii="Arial" w:hAnsi="Arial" w:cs="Arial"/>
        </w:rPr>
        <w:t xml:space="preserve"> la cifra ascendía a </w:t>
      </w:r>
      <w:r w:rsidR="00FC4BA8">
        <w:rPr>
          <w:rFonts w:ascii="Arial" w:hAnsi="Arial" w:cs="Arial"/>
        </w:rPr>
        <w:t>6.339.147,58</w:t>
      </w:r>
      <w:r w:rsidRPr="00406F5A">
        <w:rPr>
          <w:rFonts w:ascii="Arial" w:hAnsi="Arial" w:cs="Arial"/>
        </w:rPr>
        <w:t xml:space="preserve"> euros (634.397,10 euros correspondientes a construcciones y </w:t>
      </w:r>
      <w:r w:rsidR="00FC4BA8">
        <w:rPr>
          <w:rFonts w:ascii="Arial" w:hAnsi="Arial" w:cs="Arial"/>
        </w:rPr>
        <w:t>5.704.750,48</w:t>
      </w:r>
      <w:r w:rsidRPr="00406F5A">
        <w:rPr>
          <w:rFonts w:ascii="Arial" w:hAnsi="Arial" w:cs="Arial"/>
        </w:rPr>
        <w:t xml:space="preserve"> euros al resto del inmovilizado material). </w:t>
      </w:r>
    </w:p>
    <w:p w14:paraId="3C2403BC" w14:textId="77777777" w:rsidR="009B0B40" w:rsidRPr="00406F5A" w:rsidRDefault="009B0B40" w:rsidP="001E1C0D">
      <w:pPr>
        <w:pStyle w:val="Textoindependiente"/>
        <w:tabs>
          <w:tab w:val="clear" w:pos="720"/>
          <w:tab w:val="clear" w:pos="4320"/>
        </w:tabs>
        <w:spacing w:before="200" w:line="276" w:lineRule="auto"/>
        <w:rPr>
          <w:rFonts w:ascii="Arial" w:hAnsi="Arial" w:cs="Arial"/>
        </w:rPr>
      </w:pPr>
      <w:r w:rsidRPr="00406F5A">
        <w:rPr>
          <w:rFonts w:ascii="Arial" w:hAnsi="Arial" w:cs="Arial"/>
        </w:rPr>
        <w:t xml:space="preserve">Durante el presente ejercicio, la Sociedad ha adquirido a empresas del grupo elementos de inmovilizado material por valor de </w:t>
      </w:r>
      <w:r w:rsidR="00BA3781">
        <w:rPr>
          <w:rFonts w:ascii="Arial" w:hAnsi="Arial" w:cs="Arial"/>
        </w:rPr>
        <w:t>24.409,85</w:t>
      </w:r>
      <w:r w:rsidRPr="00406F5A">
        <w:rPr>
          <w:rFonts w:ascii="Arial" w:hAnsi="Arial" w:cs="Arial"/>
        </w:rPr>
        <w:t xml:space="preserve"> euros</w:t>
      </w:r>
      <w:r w:rsidR="0071358D" w:rsidRPr="00406F5A">
        <w:rPr>
          <w:rFonts w:ascii="Arial" w:hAnsi="Arial" w:cs="Arial"/>
        </w:rPr>
        <w:t xml:space="preserve">, </w:t>
      </w:r>
      <w:r w:rsidR="00BA3781">
        <w:rPr>
          <w:rFonts w:ascii="Arial" w:hAnsi="Arial" w:cs="Arial"/>
        </w:rPr>
        <w:t>21.349,47</w:t>
      </w:r>
      <w:r w:rsidR="0071358D" w:rsidRPr="00406F5A">
        <w:rPr>
          <w:rFonts w:ascii="Arial" w:hAnsi="Arial" w:cs="Arial"/>
        </w:rPr>
        <w:t xml:space="preserve"> euros en 201</w:t>
      </w:r>
      <w:r w:rsidR="00BA3781">
        <w:rPr>
          <w:rFonts w:ascii="Arial" w:hAnsi="Arial" w:cs="Arial"/>
        </w:rPr>
        <w:t>8</w:t>
      </w:r>
      <w:r w:rsidRPr="00406F5A">
        <w:rPr>
          <w:rFonts w:ascii="Arial" w:hAnsi="Arial" w:cs="Arial"/>
        </w:rPr>
        <w:t>. En concreto, la Sociedad ha adquirido equipos para procesos de información a la sociedad Navarra d</w:t>
      </w:r>
      <w:r w:rsidR="0048472E" w:rsidRPr="00406F5A">
        <w:rPr>
          <w:rFonts w:ascii="Arial" w:hAnsi="Arial" w:cs="Arial"/>
        </w:rPr>
        <w:t xml:space="preserve">e Servicios y Tecnologías, S.A. </w:t>
      </w:r>
    </w:p>
    <w:p w14:paraId="4CB00469" w14:textId="77777777" w:rsidR="00C8624B" w:rsidRPr="00406F5A" w:rsidRDefault="00C8624B" w:rsidP="00C8624B">
      <w:pPr>
        <w:pStyle w:val="Textoindependiente"/>
        <w:tabs>
          <w:tab w:val="clear" w:pos="720"/>
          <w:tab w:val="clear" w:pos="4320"/>
        </w:tabs>
        <w:spacing w:before="200" w:line="276" w:lineRule="auto"/>
        <w:rPr>
          <w:rFonts w:ascii="Arial" w:hAnsi="Arial" w:cs="Arial"/>
        </w:rPr>
      </w:pPr>
      <w:r w:rsidRPr="00406F5A">
        <w:rPr>
          <w:rFonts w:ascii="Arial" w:hAnsi="Arial" w:cs="Arial"/>
        </w:rPr>
        <w:t xml:space="preserve">El coste total del inmovilizado material, al cierre del presente ejercicio, adquirido a empresas del grupo asciende a </w:t>
      </w:r>
      <w:r w:rsidR="00FC4BA8">
        <w:rPr>
          <w:rFonts w:ascii="Arial" w:hAnsi="Arial" w:cs="Arial"/>
        </w:rPr>
        <w:t>236.211,17</w:t>
      </w:r>
      <w:r w:rsidRPr="00406F5A">
        <w:rPr>
          <w:rFonts w:ascii="Arial" w:hAnsi="Arial" w:cs="Arial"/>
        </w:rPr>
        <w:t xml:space="preserve"> euros y la amortización acumulada asciende a </w:t>
      </w:r>
      <w:r w:rsidR="00FC4BA8">
        <w:rPr>
          <w:rFonts w:ascii="Arial" w:hAnsi="Arial" w:cs="Arial"/>
        </w:rPr>
        <w:t>178.745,19</w:t>
      </w:r>
      <w:r w:rsidRPr="00406F5A">
        <w:rPr>
          <w:rFonts w:ascii="Arial" w:hAnsi="Arial" w:cs="Arial"/>
        </w:rPr>
        <w:t xml:space="preserve"> euros.</w:t>
      </w:r>
      <w:r w:rsidR="0048472E" w:rsidRPr="00406F5A">
        <w:rPr>
          <w:rFonts w:ascii="Arial" w:hAnsi="Arial" w:cs="Arial"/>
        </w:rPr>
        <w:t xml:space="preserve"> Las cifras en 201</w:t>
      </w:r>
      <w:r w:rsidR="00FC4BA8">
        <w:rPr>
          <w:rFonts w:ascii="Arial" w:hAnsi="Arial" w:cs="Arial"/>
        </w:rPr>
        <w:t>8</w:t>
      </w:r>
      <w:r w:rsidR="0048472E" w:rsidRPr="00406F5A">
        <w:rPr>
          <w:rFonts w:ascii="Arial" w:hAnsi="Arial" w:cs="Arial"/>
        </w:rPr>
        <w:t xml:space="preserve"> ascendían a </w:t>
      </w:r>
      <w:r w:rsidR="00FC4BA8">
        <w:rPr>
          <w:rFonts w:ascii="Arial" w:hAnsi="Arial" w:cs="Arial"/>
        </w:rPr>
        <w:t>211.801,32</w:t>
      </w:r>
      <w:r w:rsidR="0048472E" w:rsidRPr="00406F5A">
        <w:rPr>
          <w:rFonts w:ascii="Arial" w:hAnsi="Arial" w:cs="Arial"/>
        </w:rPr>
        <w:t xml:space="preserve"> euros y </w:t>
      </w:r>
      <w:r w:rsidR="00C14F24">
        <w:rPr>
          <w:rFonts w:ascii="Arial" w:hAnsi="Arial" w:cs="Arial"/>
        </w:rPr>
        <w:t>151.318,01</w:t>
      </w:r>
      <w:r w:rsidR="0048472E" w:rsidRPr="00406F5A">
        <w:rPr>
          <w:rFonts w:ascii="Arial" w:hAnsi="Arial" w:cs="Arial"/>
        </w:rPr>
        <w:t xml:space="preserve"> euros respectivamente.</w:t>
      </w:r>
    </w:p>
    <w:p w14:paraId="17A60411" w14:textId="77777777" w:rsidR="009B0B40" w:rsidRPr="00406F5A" w:rsidRDefault="00D9697A" w:rsidP="001E1C0D">
      <w:pPr>
        <w:pStyle w:val="Textoindependiente"/>
        <w:tabs>
          <w:tab w:val="clear" w:pos="720"/>
          <w:tab w:val="clear" w:pos="4320"/>
        </w:tabs>
        <w:spacing w:before="200" w:line="276" w:lineRule="auto"/>
        <w:rPr>
          <w:rFonts w:ascii="Arial" w:hAnsi="Arial" w:cs="Arial"/>
        </w:rPr>
      </w:pPr>
      <w:r>
        <w:rPr>
          <w:rFonts w:ascii="Arial" w:hAnsi="Arial" w:cs="Arial"/>
        </w:rPr>
        <w:t>En 201</w:t>
      </w:r>
      <w:r w:rsidR="00C14F24">
        <w:rPr>
          <w:rFonts w:ascii="Arial" w:hAnsi="Arial" w:cs="Arial"/>
        </w:rPr>
        <w:t>9</w:t>
      </w:r>
      <w:r>
        <w:rPr>
          <w:rFonts w:ascii="Arial" w:hAnsi="Arial" w:cs="Arial"/>
        </w:rPr>
        <w:t xml:space="preserve"> la Sociedad ha recibido una subvención de capital para la financiación de bienes de inmovilizado material de importe </w:t>
      </w:r>
      <w:r w:rsidR="00C14F24">
        <w:rPr>
          <w:rFonts w:ascii="Arial" w:hAnsi="Arial" w:cs="Arial"/>
        </w:rPr>
        <w:t>274.602,89</w:t>
      </w:r>
      <w:r>
        <w:rPr>
          <w:rFonts w:ascii="Arial" w:hAnsi="Arial" w:cs="Arial"/>
        </w:rPr>
        <w:t xml:space="preserve"> euros.</w:t>
      </w:r>
      <w:r w:rsidR="008E63FF">
        <w:rPr>
          <w:rFonts w:ascii="Arial" w:hAnsi="Arial" w:cs="Arial"/>
        </w:rPr>
        <w:t xml:space="preserve"> El destino de dicha subvención ha sido la mejora en </w:t>
      </w:r>
      <w:r w:rsidR="00D957D2">
        <w:rPr>
          <w:rFonts w:ascii="Arial" w:hAnsi="Arial" w:cs="Arial"/>
        </w:rPr>
        <w:t xml:space="preserve">las </w:t>
      </w:r>
      <w:r w:rsidR="008E63FF">
        <w:rPr>
          <w:rFonts w:ascii="Arial" w:hAnsi="Arial" w:cs="Arial"/>
        </w:rPr>
        <w:t xml:space="preserve">instalaciones de </w:t>
      </w:r>
      <w:r w:rsidR="00D957D2">
        <w:rPr>
          <w:rFonts w:ascii="Arial" w:hAnsi="Arial" w:cs="Arial"/>
        </w:rPr>
        <w:t xml:space="preserve">las </w:t>
      </w:r>
      <w:r w:rsidR="008E63FF">
        <w:rPr>
          <w:rFonts w:ascii="Arial" w:hAnsi="Arial" w:cs="Arial"/>
        </w:rPr>
        <w:t>fincas</w:t>
      </w:r>
      <w:r w:rsidR="00D957D2">
        <w:rPr>
          <w:rFonts w:ascii="Arial" w:hAnsi="Arial" w:cs="Arial"/>
        </w:rPr>
        <w:t xml:space="preserve"> </w:t>
      </w:r>
      <w:r w:rsidR="00C14F24">
        <w:rPr>
          <w:rFonts w:ascii="Arial" w:hAnsi="Arial" w:cs="Arial"/>
        </w:rPr>
        <w:t xml:space="preserve">experimentales </w:t>
      </w:r>
      <w:r w:rsidR="00D957D2">
        <w:rPr>
          <w:rFonts w:ascii="Arial" w:hAnsi="Arial" w:cs="Arial"/>
        </w:rPr>
        <w:t>de</w:t>
      </w:r>
      <w:r w:rsidR="00C14F24">
        <w:rPr>
          <w:rFonts w:ascii="Arial" w:hAnsi="Arial" w:cs="Arial"/>
        </w:rPr>
        <w:t xml:space="preserve"> </w:t>
      </w:r>
      <w:proofErr w:type="spellStart"/>
      <w:r w:rsidR="00C14F24">
        <w:rPr>
          <w:rFonts w:ascii="Arial" w:hAnsi="Arial" w:cs="Arial"/>
        </w:rPr>
        <w:t>Cadreita</w:t>
      </w:r>
      <w:proofErr w:type="spellEnd"/>
      <w:r w:rsidR="00C14F24">
        <w:rPr>
          <w:rFonts w:ascii="Arial" w:hAnsi="Arial" w:cs="Arial"/>
        </w:rPr>
        <w:t>,</w:t>
      </w:r>
      <w:r w:rsidR="00D957D2">
        <w:rPr>
          <w:rFonts w:ascii="Arial" w:hAnsi="Arial" w:cs="Arial"/>
        </w:rPr>
        <w:t xml:space="preserve"> </w:t>
      </w:r>
      <w:proofErr w:type="spellStart"/>
      <w:r w:rsidR="00D957D2">
        <w:rPr>
          <w:rFonts w:ascii="Arial" w:hAnsi="Arial" w:cs="Arial"/>
        </w:rPr>
        <w:t>Sartaguda</w:t>
      </w:r>
      <w:proofErr w:type="spellEnd"/>
      <w:r w:rsidR="00D957D2">
        <w:rPr>
          <w:rFonts w:ascii="Arial" w:hAnsi="Arial" w:cs="Arial"/>
        </w:rPr>
        <w:t xml:space="preserve"> y Roncesvalles</w:t>
      </w:r>
      <w:r w:rsidR="008E63FF">
        <w:rPr>
          <w:rFonts w:ascii="Arial" w:hAnsi="Arial" w:cs="Arial"/>
        </w:rPr>
        <w:t>.</w:t>
      </w:r>
      <w:r>
        <w:rPr>
          <w:rFonts w:ascii="Arial" w:hAnsi="Arial" w:cs="Arial"/>
        </w:rPr>
        <w:t xml:space="preserve"> </w:t>
      </w:r>
      <w:r w:rsidR="00D957D2">
        <w:rPr>
          <w:rFonts w:ascii="Arial" w:hAnsi="Arial" w:cs="Arial"/>
        </w:rPr>
        <w:t>La subvención recibida en 201</w:t>
      </w:r>
      <w:r w:rsidR="00C14F24">
        <w:rPr>
          <w:rFonts w:ascii="Arial" w:hAnsi="Arial" w:cs="Arial"/>
        </w:rPr>
        <w:t>8</w:t>
      </w:r>
      <w:r w:rsidR="00D957D2">
        <w:rPr>
          <w:rFonts w:ascii="Arial" w:hAnsi="Arial" w:cs="Arial"/>
        </w:rPr>
        <w:t xml:space="preserve"> para el mismo concepto fue de </w:t>
      </w:r>
      <w:r w:rsidR="00C14F24">
        <w:rPr>
          <w:rFonts w:ascii="Arial" w:hAnsi="Arial" w:cs="Arial"/>
        </w:rPr>
        <w:t>304.945,32</w:t>
      </w:r>
      <w:r w:rsidR="00D957D2">
        <w:rPr>
          <w:rFonts w:ascii="Arial" w:hAnsi="Arial" w:cs="Arial"/>
        </w:rPr>
        <w:t xml:space="preserve"> euros.</w:t>
      </w:r>
      <w:r w:rsidR="00C355DF" w:rsidRPr="00406F5A">
        <w:rPr>
          <w:rFonts w:ascii="Arial" w:hAnsi="Arial" w:cs="Arial"/>
        </w:rPr>
        <w:t xml:space="preserve"> </w:t>
      </w:r>
      <w:r w:rsidR="009B0B40" w:rsidRPr="00406F5A">
        <w:rPr>
          <w:rFonts w:ascii="Arial" w:hAnsi="Arial" w:cs="Arial"/>
        </w:rPr>
        <w:t xml:space="preserve">Al cierre del presente ejercicio, el importe registrado en el balance de la Sociedad asciende a </w:t>
      </w:r>
      <w:r w:rsidR="00C14F24">
        <w:rPr>
          <w:rFonts w:ascii="Arial" w:hAnsi="Arial" w:cs="Arial"/>
        </w:rPr>
        <w:t>1.682.496,08</w:t>
      </w:r>
      <w:r w:rsidR="009B0B40" w:rsidRPr="00406F5A">
        <w:rPr>
          <w:rFonts w:ascii="Arial" w:hAnsi="Arial" w:cs="Arial"/>
        </w:rPr>
        <w:t xml:space="preserve"> euros (</w:t>
      </w:r>
      <w:r w:rsidR="00C14F24">
        <w:rPr>
          <w:rFonts w:ascii="Arial" w:hAnsi="Arial" w:cs="Arial"/>
        </w:rPr>
        <w:t>1.533.046,85</w:t>
      </w:r>
      <w:r w:rsidR="009B0B40" w:rsidRPr="00406F5A">
        <w:rPr>
          <w:rFonts w:ascii="Arial" w:hAnsi="Arial" w:cs="Arial"/>
        </w:rPr>
        <w:t xml:space="preserve"> euros en 201</w:t>
      </w:r>
      <w:r w:rsidR="00F5476D">
        <w:rPr>
          <w:rFonts w:ascii="Arial" w:hAnsi="Arial" w:cs="Arial"/>
        </w:rPr>
        <w:t>7).</w:t>
      </w:r>
      <w:r w:rsidR="009B0B40" w:rsidRPr="00406F5A">
        <w:rPr>
          <w:rFonts w:ascii="Arial" w:hAnsi="Arial" w:cs="Arial"/>
        </w:rPr>
        <w:t xml:space="preserve"> No existen hipotecas en garantía de préstamos, estando todos los bienes libres de cargas.</w:t>
      </w:r>
    </w:p>
    <w:p w14:paraId="56F6C46F" w14:textId="77777777" w:rsidR="009B0B40" w:rsidRPr="00406F5A" w:rsidRDefault="009B0B40" w:rsidP="001E1C0D">
      <w:pPr>
        <w:pStyle w:val="Textoindependiente"/>
        <w:tabs>
          <w:tab w:val="clear" w:pos="720"/>
          <w:tab w:val="clear" w:pos="4320"/>
        </w:tabs>
        <w:spacing w:before="200" w:line="276" w:lineRule="auto"/>
        <w:rPr>
          <w:rFonts w:ascii="Arial" w:hAnsi="Arial" w:cs="Arial"/>
        </w:rPr>
      </w:pPr>
      <w:r w:rsidRPr="00406F5A">
        <w:rPr>
          <w:rFonts w:ascii="Arial" w:hAnsi="Arial" w:cs="Arial"/>
        </w:rPr>
        <w:t>No existen  compromisos firmes de compra de inmovilizado material.</w:t>
      </w:r>
    </w:p>
    <w:p w14:paraId="53DAC25F" w14:textId="77777777" w:rsidR="009B0B40" w:rsidRPr="0013770B" w:rsidRDefault="009B0B40" w:rsidP="001E1C0D">
      <w:pPr>
        <w:pStyle w:val="Ttulo1"/>
        <w:spacing w:before="200" w:line="276" w:lineRule="auto"/>
        <w:rPr>
          <w:rFonts w:ascii="EurostileT" w:hAnsi="EurostileT"/>
          <w:color w:val="005BA6"/>
          <w:sz w:val="28"/>
          <w:szCs w:val="28"/>
        </w:rPr>
      </w:pPr>
      <w:bookmarkStart w:id="8" w:name="_Toc350855615"/>
      <w:r w:rsidRPr="0013770B">
        <w:rPr>
          <w:rFonts w:ascii="EurostileT" w:hAnsi="EurostileT"/>
          <w:color w:val="005BA6"/>
          <w:sz w:val="28"/>
          <w:szCs w:val="28"/>
        </w:rPr>
        <w:t>6. INMOVILIZADO INTANGIBLE</w:t>
      </w:r>
      <w:bookmarkEnd w:id="8"/>
    </w:p>
    <w:p w14:paraId="0A5F8D82" w14:textId="77777777" w:rsidR="009B0B40" w:rsidRDefault="009B0B40" w:rsidP="001E1C0D">
      <w:pPr>
        <w:spacing w:before="200" w:line="276" w:lineRule="auto"/>
        <w:jc w:val="both"/>
        <w:rPr>
          <w:rFonts w:ascii="Arial" w:hAnsi="Arial" w:cs="Arial"/>
        </w:rPr>
      </w:pPr>
      <w:r>
        <w:rPr>
          <w:rFonts w:ascii="Arial" w:hAnsi="Arial" w:cs="Arial"/>
        </w:rPr>
        <w:t xml:space="preserve">El movimiento del inmovilizado intangible durante los ejercicios </w:t>
      </w:r>
      <w:r w:rsidR="004E6E75">
        <w:rPr>
          <w:rFonts w:ascii="Arial" w:hAnsi="Arial" w:cs="Arial"/>
        </w:rPr>
        <w:t>201</w:t>
      </w:r>
      <w:r w:rsidR="0030619D">
        <w:rPr>
          <w:rFonts w:ascii="Arial" w:hAnsi="Arial" w:cs="Arial"/>
        </w:rPr>
        <w:t>9</w:t>
      </w:r>
      <w:r w:rsidR="004E6E75">
        <w:rPr>
          <w:rFonts w:ascii="Arial" w:hAnsi="Arial" w:cs="Arial"/>
        </w:rPr>
        <w:t xml:space="preserve"> y 201</w:t>
      </w:r>
      <w:r w:rsidR="0030619D">
        <w:rPr>
          <w:rFonts w:ascii="Arial" w:hAnsi="Arial" w:cs="Arial"/>
        </w:rPr>
        <w:t>8</w:t>
      </w:r>
      <w:r>
        <w:rPr>
          <w:rFonts w:ascii="Arial" w:hAnsi="Arial" w:cs="Arial"/>
        </w:rPr>
        <w:t xml:space="preserve">  se detalla en el siguiente cuadro:</w:t>
      </w:r>
    </w:p>
    <w:p w14:paraId="0EC46349" w14:textId="77777777" w:rsidR="009B0B40" w:rsidRDefault="009B0B40" w:rsidP="00BE6E4D">
      <w:pPr>
        <w:pStyle w:val="Textoindependiente"/>
        <w:tabs>
          <w:tab w:val="clear" w:pos="720"/>
          <w:tab w:val="clear" w:pos="4320"/>
        </w:tabs>
        <w:jc w:val="center"/>
        <w:rPr>
          <w:noProof/>
          <w:lang w:val="es-ES"/>
        </w:rPr>
      </w:pPr>
    </w:p>
    <w:p w14:paraId="1F219DB2" w14:textId="77777777" w:rsidR="004E6E75" w:rsidRDefault="006343DB" w:rsidP="00BE6E4D">
      <w:pPr>
        <w:pStyle w:val="Textoindependiente"/>
        <w:tabs>
          <w:tab w:val="clear" w:pos="720"/>
          <w:tab w:val="clear" w:pos="4320"/>
        </w:tabs>
        <w:jc w:val="center"/>
        <w:rPr>
          <w:rFonts w:cs="Arial"/>
        </w:rPr>
      </w:pPr>
      <w:r w:rsidRPr="006343DB">
        <w:rPr>
          <w:noProof/>
          <w:lang w:val="es-ES"/>
        </w:rPr>
        <w:drawing>
          <wp:inline distT="0" distB="0" distL="0" distR="0" wp14:anchorId="17D1911A" wp14:editId="5DB85774">
            <wp:extent cx="5031843" cy="151148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7820" cy="1513280"/>
                    </a:xfrm>
                    <a:prstGeom prst="rect">
                      <a:avLst/>
                    </a:prstGeom>
                    <a:noFill/>
                    <a:ln>
                      <a:noFill/>
                    </a:ln>
                  </pic:spPr>
                </pic:pic>
              </a:graphicData>
            </a:graphic>
          </wp:inline>
        </w:drawing>
      </w:r>
    </w:p>
    <w:p w14:paraId="67AB75A7" w14:textId="77777777" w:rsidR="004E6E75" w:rsidRDefault="004E6E75" w:rsidP="00406F5A">
      <w:pPr>
        <w:pStyle w:val="Textoindependiente"/>
        <w:tabs>
          <w:tab w:val="clear" w:pos="720"/>
          <w:tab w:val="clear" w:pos="4320"/>
        </w:tabs>
        <w:spacing w:line="276" w:lineRule="auto"/>
        <w:rPr>
          <w:rFonts w:ascii="Arial" w:hAnsi="Arial" w:cs="Arial"/>
        </w:rPr>
      </w:pPr>
    </w:p>
    <w:p w14:paraId="37CD6627" w14:textId="77777777" w:rsidR="009B0B40" w:rsidRPr="00406F5A" w:rsidRDefault="009B0B40" w:rsidP="00406F5A">
      <w:pPr>
        <w:pStyle w:val="Textoindependiente"/>
        <w:tabs>
          <w:tab w:val="clear" w:pos="720"/>
          <w:tab w:val="clear" w:pos="4320"/>
        </w:tabs>
        <w:spacing w:line="276" w:lineRule="auto"/>
        <w:rPr>
          <w:rFonts w:ascii="Arial" w:hAnsi="Arial" w:cs="Arial"/>
        </w:rPr>
      </w:pPr>
      <w:r w:rsidRPr="003062E9">
        <w:rPr>
          <w:rFonts w:ascii="Arial" w:hAnsi="Arial" w:cs="Arial"/>
        </w:rPr>
        <w:t>A 31 de diciembre de 201</w:t>
      </w:r>
      <w:r w:rsidR="003062E9">
        <w:rPr>
          <w:rFonts w:ascii="Arial" w:hAnsi="Arial" w:cs="Arial"/>
        </w:rPr>
        <w:t>9</w:t>
      </w:r>
      <w:r w:rsidRPr="00406F5A">
        <w:rPr>
          <w:rFonts w:ascii="Arial" w:hAnsi="Arial" w:cs="Arial"/>
        </w:rPr>
        <w:t xml:space="preserve"> existen elementos totalmente amortizados en uso por importe de </w:t>
      </w:r>
      <w:r w:rsidR="003062E9">
        <w:rPr>
          <w:rFonts w:ascii="Arial" w:hAnsi="Arial" w:cs="Arial"/>
        </w:rPr>
        <w:t>342.</w:t>
      </w:r>
      <w:r w:rsidR="002C4C6B">
        <w:rPr>
          <w:rFonts w:ascii="Arial" w:hAnsi="Arial" w:cs="Arial"/>
        </w:rPr>
        <w:t>658,65</w:t>
      </w:r>
      <w:r w:rsidR="00EA5226" w:rsidRPr="00406F5A">
        <w:rPr>
          <w:rFonts w:ascii="Arial" w:hAnsi="Arial" w:cs="Arial"/>
        </w:rPr>
        <w:t xml:space="preserve"> euros. En 201</w:t>
      </w:r>
      <w:r w:rsidR="0030619D">
        <w:rPr>
          <w:rFonts w:ascii="Arial" w:hAnsi="Arial" w:cs="Arial"/>
        </w:rPr>
        <w:t>8</w:t>
      </w:r>
      <w:r w:rsidR="00EA5226" w:rsidRPr="00406F5A">
        <w:rPr>
          <w:rFonts w:ascii="Arial" w:hAnsi="Arial" w:cs="Arial"/>
        </w:rPr>
        <w:t xml:space="preserve"> </w:t>
      </w:r>
      <w:r w:rsidR="00BE6E4D">
        <w:rPr>
          <w:rFonts w:ascii="Arial" w:hAnsi="Arial" w:cs="Arial"/>
        </w:rPr>
        <w:t xml:space="preserve">el importe de elementos totalmente amortizados ascendía a </w:t>
      </w:r>
      <w:r w:rsidR="0030619D">
        <w:rPr>
          <w:rFonts w:ascii="Arial" w:hAnsi="Arial" w:cs="Arial"/>
        </w:rPr>
        <w:t>342.152,63</w:t>
      </w:r>
      <w:r w:rsidR="00BE6E4D">
        <w:rPr>
          <w:rFonts w:ascii="Arial" w:hAnsi="Arial" w:cs="Arial"/>
        </w:rPr>
        <w:t xml:space="preserve"> euros.</w:t>
      </w:r>
    </w:p>
    <w:p w14:paraId="5DD4C1E1" w14:textId="77777777" w:rsidR="003062E9" w:rsidRDefault="003062E9" w:rsidP="00852006">
      <w:pPr>
        <w:pStyle w:val="Textoindependiente"/>
        <w:tabs>
          <w:tab w:val="clear" w:pos="720"/>
          <w:tab w:val="clear" w:pos="4320"/>
        </w:tabs>
        <w:spacing w:before="200" w:line="276" w:lineRule="auto"/>
        <w:rPr>
          <w:rFonts w:ascii="Arial" w:hAnsi="Arial" w:cs="Arial"/>
        </w:rPr>
      </w:pPr>
      <w:r>
        <w:rPr>
          <w:rFonts w:ascii="Arial" w:hAnsi="Arial" w:cs="Arial"/>
        </w:rPr>
        <w:t xml:space="preserve">En 2019 la Sociedad adquirió </w:t>
      </w:r>
      <w:r w:rsidRPr="00406F5A">
        <w:rPr>
          <w:rFonts w:ascii="Arial" w:hAnsi="Arial" w:cs="Arial"/>
        </w:rPr>
        <w:t xml:space="preserve"> aplicaciones informáticas a la sociedad del grupo Navarra de Servicios y Tecnologías, S.A. por importe de </w:t>
      </w:r>
      <w:r>
        <w:rPr>
          <w:rFonts w:ascii="Arial" w:hAnsi="Arial" w:cs="Arial"/>
        </w:rPr>
        <w:t>500,01</w:t>
      </w:r>
      <w:r w:rsidRPr="00406F5A">
        <w:rPr>
          <w:rFonts w:ascii="Arial" w:hAnsi="Arial" w:cs="Arial"/>
        </w:rPr>
        <w:t xml:space="preserve"> euros. </w:t>
      </w:r>
      <w:r w:rsidR="008D0AD6" w:rsidRPr="00406F5A">
        <w:rPr>
          <w:rFonts w:ascii="Arial" w:hAnsi="Arial" w:cs="Arial"/>
        </w:rPr>
        <w:t>En</w:t>
      </w:r>
      <w:r w:rsidR="00DA676E" w:rsidRPr="00406F5A">
        <w:rPr>
          <w:rFonts w:ascii="Arial" w:hAnsi="Arial" w:cs="Arial"/>
        </w:rPr>
        <w:t xml:space="preserve"> 201</w:t>
      </w:r>
      <w:r w:rsidR="004E6E75">
        <w:rPr>
          <w:rFonts w:ascii="Arial" w:hAnsi="Arial" w:cs="Arial"/>
        </w:rPr>
        <w:t>8</w:t>
      </w:r>
      <w:r w:rsidR="008D0AD6" w:rsidRPr="00406F5A">
        <w:rPr>
          <w:rFonts w:ascii="Arial" w:hAnsi="Arial" w:cs="Arial"/>
        </w:rPr>
        <w:t xml:space="preserve"> la Sociedad</w:t>
      </w:r>
      <w:r w:rsidR="004E6E75">
        <w:rPr>
          <w:rFonts w:ascii="Arial" w:hAnsi="Arial" w:cs="Arial"/>
        </w:rPr>
        <w:t xml:space="preserve"> no</w:t>
      </w:r>
      <w:r w:rsidR="008D0AD6" w:rsidRPr="00406F5A">
        <w:rPr>
          <w:rFonts w:ascii="Arial" w:hAnsi="Arial" w:cs="Arial"/>
        </w:rPr>
        <w:t xml:space="preserve"> </w:t>
      </w:r>
      <w:r>
        <w:rPr>
          <w:rFonts w:ascii="Arial" w:hAnsi="Arial" w:cs="Arial"/>
        </w:rPr>
        <w:t>adquirió</w:t>
      </w:r>
      <w:r w:rsidR="00BB2992">
        <w:rPr>
          <w:rFonts w:ascii="Arial" w:hAnsi="Arial" w:cs="Arial"/>
        </w:rPr>
        <w:t xml:space="preserve"> elemen</w:t>
      </w:r>
      <w:r w:rsidR="0089445C">
        <w:rPr>
          <w:rFonts w:ascii="Arial" w:hAnsi="Arial" w:cs="Arial"/>
        </w:rPr>
        <w:t>tos de inmovilizado intangible a empresas del grupo.</w:t>
      </w:r>
    </w:p>
    <w:p w14:paraId="461EBB2A" w14:textId="77777777" w:rsidR="00D61F67" w:rsidRPr="00406F5A" w:rsidRDefault="004C6652" w:rsidP="00852006">
      <w:pPr>
        <w:pStyle w:val="Textoindependiente"/>
        <w:tabs>
          <w:tab w:val="clear" w:pos="720"/>
          <w:tab w:val="clear" w:pos="4320"/>
        </w:tabs>
        <w:spacing w:before="200" w:line="276" w:lineRule="auto"/>
        <w:rPr>
          <w:rFonts w:ascii="Arial" w:hAnsi="Arial" w:cs="Arial"/>
        </w:rPr>
      </w:pPr>
      <w:r w:rsidRPr="00406F5A">
        <w:rPr>
          <w:rFonts w:ascii="Arial" w:hAnsi="Arial" w:cs="Arial"/>
        </w:rPr>
        <w:t xml:space="preserve">El coste total del inmovilizado intangible, al cierre del presente ejercicio, adquirido a empresas del grupo asciende a </w:t>
      </w:r>
      <w:r w:rsidR="00D67A4D">
        <w:rPr>
          <w:rFonts w:ascii="Arial" w:hAnsi="Arial" w:cs="Arial"/>
        </w:rPr>
        <w:t>255.785,39</w:t>
      </w:r>
      <w:r w:rsidRPr="00406F5A">
        <w:rPr>
          <w:rFonts w:ascii="Arial" w:hAnsi="Arial" w:cs="Arial"/>
        </w:rPr>
        <w:t xml:space="preserve"> euros y la amortización acumulada asciende a </w:t>
      </w:r>
      <w:r w:rsidR="00D67A4D">
        <w:rPr>
          <w:rFonts w:ascii="Arial" w:hAnsi="Arial" w:cs="Arial"/>
        </w:rPr>
        <w:t>215.712,31</w:t>
      </w:r>
      <w:r w:rsidRPr="00406F5A">
        <w:rPr>
          <w:rFonts w:ascii="Arial" w:hAnsi="Arial" w:cs="Arial"/>
        </w:rPr>
        <w:t xml:space="preserve"> euros.</w:t>
      </w:r>
      <w:r w:rsidR="00E930D2" w:rsidRPr="00406F5A">
        <w:rPr>
          <w:rFonts w:ascii="Arial" w:hAnsi="Arial" w:cs="Arial"/>
        </w:rPr>
        <w:t xml:space="preserve"> Los importes en 201</w:t>
      </w:r>
      <w:r w:rsidR="003062E9">
        <w:rPr>
          <w:rFonts w:ascii="Arial" w:hAnsi="Arial" w:cs="Arial"/>
        </w:rPr>
        <w:t>8</w:t>
      </w:r>
      <w:r w:rsidR="00E930D2" w:rsidRPr="00406F5A">
        <w:rPr>
          <w:rFonts w:ascii="Arial" w:hAnsi="Arial" w:cs="Arial"/>
        </w:rPr>
        <w:t xml:space="preserve"> ascienden a </w:t>
      </w:r>
      <w:r w:rsidR="00D67A4D">
        <w:rPr>
          <w:rFonts w:ascii="Arial" w:hAnsi="Arial" w:cs="Arial"/>
        </w:rPr>
        <w:t>255.285,38</w:t>
      </w:r>
      <w:r w:rsidR="00E930D2" w:rsidRPr="00406F5A">
        <w:rPr>
          <w:rFonts w:ascii="Arial" w:hAnsi="Arial" w:cs="Arial"/>
        </w:rPr>
        <w:t xml:space="preserve"> euros y </w:t>
      </w:r>
      <w:r w:rsidR="00D67A4D">
        <w:rPr>
          <w:rFonts w:ascii="Arial" w:hAnsi="Arial" w:cs="Arial"/>
        </w:rPr>
        <w:t>202.238,89</w:t>
      </w:r>
      <w:r w:rsidR="00E930D2" w:rsidRPr="00406F5A">
        <w:rPr>
          <w:rFonts w:ascii="Arial" w:hAnsi="Arial" w:cs="Arial"/>
        </w:rPr>
        <w:t xml:space="preserve"> euros respectivamente. </w:t>
      </w:r>
    </w:p>
    <w:p w14:paraId="23FF1FB6" w14:textId="77777777" w:rsidR="009B0B40" w:rsidRDefault="009B0B40" w:rsidP="00852006">
      <w:pPr>
        <w:pStyle w:val="Textoindependiente"/>
        <w:tabs>
          <w:tab w:val="clear" w:pos="720"/>
          <w:tab w:val="clear" w:pos="4320"/>
        </w:tabs>
        <w:spacing w:before="200" w:line="276" w:lineRule="auto"/>
        <w:rPr>
          <w:rFonts w:ascii="Arial" w:hAnsi="Arial" w:cs="Arial"/>
        </w:rPr>
      </w:pPr>
      <w:r w:rsidRPr="00406F5A">
        <w:rPr>
          <w:rFonts w:ascii="Arial" w:hAnsi="Arial" w:cs="Arial"/>
        </w:rPr>
        <w:t>Al cierre del ejercicio no existen compromisos firmes de compra de inmovilizado intangible.</w:t>
      </w:r>
    </w:p>
    <w:p w14:paraId="0D7060B6" w14:textId="77777777" w:rsidR="009B0B40" w:rsidRPr="0013770B" w:rsidRDefault="009B0B40" w:rsidP="00852006">
      <w:pPr>
        <w:pStyle w:val="Ttulo1"/>
        <w:spacing w:before="200" w:line="276" w:lineRule="auto"/>
        <w:jc w:val="both"/>
        <w:rPr>
          <w:rFonts w:ascii="EurostileT" w:hAnsi="EurostileT"/>
          <w:color w:val="005BA6"/>
          <w:sz w:val="28"/>
          <w:szCs w:val="28"/>
        </w:rPr>
      </w:pPr>
      <w:bookmarkStart w:id="9" w:name="_Toc350855616"/>
      <w:r w:rsidRPr="0013770B">
        <w:rPr>
          <w:rFonts w:ascii="EurostileT" w:hAnsi="EurostileT"/>
          <w:color w:val="005BA6"/>
          <w:sz w:val="28"/>
          <w:szCs w:val="28"/>
        </w:rPr>
        <w:t>7. ARRENDAMIENTOS Y OTRAS OPERACIONES DE NATURALEZA SIMILAR</w:t>
      </w:r>
      <w:bookmarkEnd w:id="9"/>
    </w:p>
    <w:p w14:paraId="2B3AE68F" w14:textId="77777777" w:rsidR="009B0B40" w:rsidRDefault="009B0B40" w:rsidP="00852006">
      <w:pPr>
        <w:spacing w:before="200" w:line="276" w:lineRule="auto"/>
        <w:jc w:val="both"/>
        <w:rPr>
          <w:rFonts w:ascii="Arial" w:hAnsi="Arial" w:cs="Arial"/>
        </w:rPr>
      </w:pPr>
      <w:r>
        <w:rPr>
          <w:rFonts w:ascii="Arial" w:hAnsi="Arial" w:cs="Arial"/>
        </w:rPr>
        <w:t>Al cierre del ejercicio 201</w:t>
      </w:r>
      <w:r w:rsidR="00D67A4D">
        <w:rPr>
          <w:rFonts w:ascii="Arial" w:hAnsi="Arial" w:cs="Arial"/>
        </w:rPr>
        <w:t>9</w:t>
      </w:r>
      <w:r w:rsidR="005A0A4D">
        <w:rPr>
          <w:rFonts w:ascii="Arial" w:hAnsi="Arial" w:cs="Arial"/>
        </w:rPr>
        <w:t xml:space="preserve"> </w:t>
      </w:r>
      <w:r w:rsidR="00053A8B">
        <w:rPr>
          <w:rFonts w:ascii="Arial" w:hAnsi="Arial" w:cs="Arial"/>
        </w:rPr>
        <w:t>la Sociedad  tiene arrendada una finca de experimentación situada</w:t>
      </w:r>
      <w:r>
        <w:rPr>
          <w:rFonts w:ascii="Arial" w:hAnsi="Arial" w:cs="Arial"/>
        </w:rPr>
        <w:t xml:space="preserve"> en Roncesvalles.</w:t>
      </w:r>
      <w:r w:rsidR="0027326E">
        <w:rPr>
          <w:rFonts w:ascii="Arial" w:hAnsi="Arial" w:cs="Arial"/>
        </w:rPr>
        <w:t xml:space="preserve"> La duraci</w:t>
      </w:r>
      <w:r w:rsidR="00053A8B">
        <w:rPr>
          <w:rFonts w:ascii="Arial" w:hAnsi="Arial" w:cs="Arial"/>
        </w:rPr>
        <w:t xml:space="preserve">ón </w:t>
      </w:r>
      <w:r w:rsidR="00E70B1F">
        <w:rPr>
          <w:rFonts w:ascii="Arial" w:hAnsi="Arial" w:cs="Arial"/>
        </w:rPr>
        <w:t>del contrato</w:t>
      </w:r>
      <w:r w:rsidR="0027326E">
        <w:rPr>
          <w:rFonts w:ascii="Arial" w:hAnsi="Arial" w:cs="Arial"/>
        </w:rPr>
        <w:t xml:space="preserve"> es de</w:t>
      </w:r>
      <w:r w:rsidR="00053A8B">
        <w:rPr>
          <w:rFonts w:ascii="Arial" w:hAnsi="Arial" w:cs="Arial"/>
        </w:rPr>
        <w:t xml:space="preserve"> 15 años finalizando el 28 de abril de 2027. La renta estipulada</w:t>
      </w:r>
      <w:r w:rsidR="003B78DE">
        <w:rPr>
          <w:rFonts w:ascii="Arial" w:hAnsi="Arial" w:cs="Arial"/>
        </w:rPr>
        <w:t xml:space="preserve"> se actualiza anualmente mediante el Índice de Precios al Consumo correspondiente al año anterior. </w:t>
      </w:r>
      <w:r w:rsidR="00053A8B">
        <w:rPr>
          <w:rFonts w:ascii="Arial" w:hAnsi="Arial" w:cs="Arial"/>
        </w:rPr>
        <w:t xml:space="preserve"> </w:t>
      </w:r>
      <w:r w:rsidR="003B78DE">
        <w:rPr>
          <w:rFonts w:ascii="Arial" w:hAnsi="Arial" w:cs="Arial"/>
        </w:rPr>
        <w:t xml:space="preserve">En 2019 la Sociedad ha rescindido el contrato de alquiler de una segunda finca de experimentación situada en Tudela. </w:t>
      </w:r>
      <w:r w:rsidR="00053A8B">
        <w:rPr>
          <w:rFonts w:ascii="Arial" w:hAnsi="Arial" w:cs="Arial"/>
        </w:rPr>
        <w:t xml:space="preserve"> </w:t>
      </w:r>
      <w:r w:rsidR="00E70B1F">
        <w:rPr>
          <w:rFonts w:ascii="Arial" w:hAnsi="Arial" w:cs="Arial"/>
        </w:rPr>
        <w:t>La vigencia de la cesión de uso de esta finca era 24 de enero de 2031.</w:t>
      </w:r>
      <w:r w:rsidR="0027326E">
        <w:rPr>
          <w:rFonts w:ascii="Arial" w:hAnsi="Arial" w:cs="Arial"/>
        </w:rPr>
        <w:t xml:space="preserve">  </w:t>
      </w:r>
    </w:p>
    <w:p w14:paraId="0DABB785" w14:textId="77777777" w:rsidR="00B54AF6" w:rsidRDefault="00B54AF6" w:rsidP="00852006">
      <w:pPr>
        <w:spacing w:before="200" w:line="276" w:lineRule="auto"/>
        <w:jc w:val="both"/>
        <w:rPr>
          <w:rFonts w:ascii="Arial" w:hAnsi="Arial" w:cs="Arial"/>
        </w:rPr>
      </w:pPr>
      <w:r>
        <w:rPr>
          <w:rFonts w:ascii="Arial" w:hAnsi="Arial" w:cs="Arial"/>
        </w:rPr>
        <w:t>El importe total de dichos arrendamientos en 201</w:t>
      </w:r>
      <w:r w:rsidR="00D67A4D">
        <w:rPr>
          <w:rFonts w:ascii="Arial" w:hAnsi="Arial" w:cs="Arial"/>
        </w:rPr>
        <w:t>9</w:t>
      </w:r>
      <w:r>
        <w:rPr>
          <w:rFonts w:ascii="Arial" w:hAnsi="Arial" w:cs="Arial"/>
        </w:rPr>
        <w:t xml:space="preserve"> ha ascendido a 19.856,43 euros, el mismo importe en 201</w:t>
      </w:r>
      <w:r w:rsidR="00D67A4D">
        <w:rPr>
          <w:rFonts w:ascii="Arial" w:hAnsi="Arial" w:cs="Arial"/>
        </w:rPr>
        <w:t>8</w:t>
      </w:r>
      <w:r>
        <w:rPr>
          <w:rFonts w:ascii="Arial" w:hAnsi="Arial" w:cs="Arial"/>
        </w:rPr>
        <w:t>.</w:t>
      </w:r>
    </w:p>
    <w:p w14:paraId="0FAC2C4E" w14:textId="77777777" w:rsidR="004F2709" w:rsidRDefault="004F2709" w:rsidP="00852006">
      <w:pPr>
        <w:spacing w:before="200" w:line="276" w:lineRule="auto"/>
        <w:jc w:val="both"/>
        <w:rPr>
          <w:rFonts w:ascii="Arial" w:hAnsi="Arial" w:cs="Arial"/>
        </w:rPr>
      </w:pPr>
      <w:r>
        <w:rPr>
          <w:rFonts w:ascii="Arial" w:hAnsi="Arial" w:cs="Arial"/>
        </w:rPr>
        <w:t>Al cierre del ejercicio 2019 y 2018, el importe total de los pagos futuros mínimos, de acuerdo con los actuales contratos en vigor, sin tener en cuenta repercusión de gastos comunes, incrementos futuros de IPC, ni actualizaciones futuras de rentas pactadas contractualmente, es el siguiente:</w:t>
      </w:r>
    </w:p>
    <w:p w14:paraId="5B2C6EA5" w14:textId="77777777" w:rsidR="004F2709" w:rsidRDefault="004F2709" w:rsidP="00DA22B0">
      <w:pPr>
        <w:ind w:left="720" w:firstLine="720"/>
        <w:jc w:val="both"/>
        <w:rPr>
          <w:rFonts w:ascii="Arial" w:hAnsi="Arial" w:cs="Arial"/>
        </w:rPr>
      </w:pPr>
    </w:p>
    <w:p w14:paraId="529DA6A1" w14:textId="77777777" w:rsidR="004F2709" w:rsidRDefault="004F2709" w:rsidP="00DA22B0">
      <w:pPr>
        <w:ind w:left="720" w:firstLine="720"/>
        <w:jc w:val="both"/>
        <w:rPr>
          <w:rFonts w:ascii="Arial" w:hAnsi="Arial" w:cs="Arial"/>
        </w:rPr>
      </w:pPr>
    </w:p>
    <w:p w14:paraId="050E3D8B" w14:textId="77777777" w:rsidR="009B0B40" w:rsidRPr="00D75DC0" w:rsidRDefault="006343DB" w:rsidP="00406F5A">
      <w:pPr>
        <w:pStyle w:val="Ttulo1"/>
        <w:spacing w:line="276" w:lineRule="auto"/>
        <w:jc w:val="center"/>
        <w:rPr>
          <w:sz w:val="20"/>
        </w:rPr>
      </w:pPr>
      <w:r w:rsidRPr="006343DB">
        <w:rPr>
          <w:noProof/>
          <w:lang w:val="es-ES"/>
        </w:rPr>
        <w:drawing>
          <wp:inline distT="0" distB="0" distL="0" distR="0" wp14:anchorId="03FFE226" wp14:editId="0A937997">
            <wp:extent cx="4730567" cy="78966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30132" cy="789594"/>
                    </a:xfrm>
                    <a:prstGeom prst="rect">
                      <a:avLst/>
                    </a:prstGeom>
                    <a:noFill/>
                    <a:ln>
                      <a:noFill/>
                    </a:ln>
                  </pic:spPr>
                </pic:pic>
              </a:graphicData>
            </a:graphic>
          </wp:inline>
        </w:drawing>
      </w:r>
    </w:p>
    <w:p w14:paraId="0E5BA2D0" w14:textId="77777777" w:rsidR="00AE0DF6" w:rsidRDefault="00156B41" w:rsidP="00852006">
      <w:pPr>
        <w:spacing w:before="200" w:line="276" w:lineRule="auto"/>
        <w:jc w:val="both"/>
        <w:rPr>
          <w:rFonts w:ascii="Arial" w:hAnsi="Arial" w:cs="Arial"/>
        </w:rPr>
      </w:pPr>
      <w:r>
        <w:rPr>
          <w:rFonts w:ascii="Arial" w:hAnsi="Arial" w:cs="Arial"/>
        </w:rPr>
        <w:t xml:space="preserve">En </w:t>
      </w:r>
      <w:r w:rsidR="00D67A4D">
        <w:rPr>
          <w:rFonts w:ascii="Arial" w:hAnsi="Arial" w:cs="Arial"/>
        </w:rPr>
        <w:t>2019 ha finalizado el contrato de alquiler</w:t>
      </w:r>
      <w:r>
        <w:rPr>
          <w:rFonts w:ascii="Arial" w:hAnsi="Arial" w:cs="Arial"/>
        </w:rPr>
        <w:t xml:space="preserve"> del</w:t>
      </w:r>
      <w:r w:rsidR="00D67A4D">
        <w:rPr>
          <w:rFonts w:ascii="Arial" w:hAnsi="Arial" w:cs="Arial"/>
        </w:rPr>
        <w:t xml:space="preserve"> Centro de Inseminación de </w:t>
      </w:r>
      <w:proofErr w:type="spellStart"/>
      <w:r w:rsidR="00D67A4D">
        <w:rPr>
          <w:rFonts w:ascii="Arial" w:hAnsi="Arial" w:cs="Arial"/>
        </w:rPr>
        <w:t>Oskotz</w:t>
      </w:r>
      <w:proofErr w:type="spellEnd"/>
      <w:r w:rsidR="00D67A4D">
        <w:rPr>
          <w:rFonts w:ascii="Arial" w:hAnsi="Arial" w:cs="Arial"/>
        </w:rPr>
        <w:t xml:space="preserve"> que</w:t>
      </w:r>
      <w:r>
        <w:rPr>
          <w:rFonts w:ascii="Arial" w:hAnsi="Arial" w:cs="Arial"/>
        </w:rPr>
        <w:t xml:space="preserve"> la Sociedad mantenía</w:t>
      </w:r>
      <w:r w:rsidR="00D67A4D">
        <w:rPr>
          <w:rFonts w:ascii="Arial" w:hAnsi="Arial" w:cs="Arial"/>
        </w:rPr>
        <w:t xml:space="preserve"> desde</w:t>
      </w:r>
      <w:r>
        <w:rPr>
          <w:rFonts w:ascii="Arial" w:hAnsi="Arial" w:cs="Arial"/>
        </w:rPr>
        <w:t xml:space="preserve"> febrero de 2014.</w:t>
      </w:r>
      <w:r w:rsidR="00E70B1F">
        <w:rPr>
          <w:rFonts w:ascii="Arial" w:hAnsi="Arial" w:cs="Arial"/>
        </w:rPr>
        <w:t xml:space="preserve"> </w:t>
      </w:r>
      <w:r w:rsidR="00AE0DF6">
        <w:rPr>
          <w:rFonts w:ascii="Arial" w:hAnsi="Arial" w:cs="Arial"/>
        </w:rPr>
        <w:t xml:space="preserve">La sociedad arrendataria alquiló las instalaciones de porcino para albergar verracos de su propiedad o de otros ganaderos. El contrato de alquiler se firmó con fecha 1 de febrero de 2014 concertándose por un plazo de cinco años, y prorrogable automáticamente por periodos de un año. El precio del alquiler se ha actualizado anualmente en función del IPC. </w:t>
      </w:r>
    </w:p>
    <w:p w14:paraId="6C81CA92" w14:textId="77777777" w:rsidR="009B0B40" w:rsidRPr="00F5253E" w:rsidRDefault="00E94FF4" w:rsidP="00852006">
      <w:pPr>
        <w:spacing w:before="200" w:line="276" w:lineRule="auto"/>
        <w:jc w:val="both"/>
        <w:rPr>
          <w:rFonts w:ascii="Arial" w:hAnsi="Arial" w:cs="Arial"/>
        </w:rPr>
      </w:pPr>
      <w:r>
        <w:rPr>
          <w:rFonts w:ascii="Arial" w:hAnsi="Arial" w:cs="Arial"/>
        </w:rPr>
        <w:t>No hay por lo tanto cobro futuros. El importe de los cobros en el ejercicio 2018 aparece en el siguiente cuadro</w:t>
      </w:r>
      <w:r w:rsidR="009B0B40" w:rsidRPr="00F5253E">
        <w:rPr>
          <w:rFonts w:ascii="Arial" w:hAnsi="Arial" w:cs="Arial"/>
        </w:rPr>
        <w:t>:</w:t>
      </w:r>
    </w:p>
    <w:p w14:paraId="4A45280B" w14:textId="77777777" w:rsidR="009B0B40" w:rsidRDefault="009B0B40" w:rsidP="00406F5A">
      <w:pPr>
        <w:spacing w:line="276" w:lineRule="auto"/>
        <w:jc w:val="center"/>
        <w:rPr>
          <w:noProof/>
          <w:lang w:val="es-ES"/>
        </w:rPr>
      </w:pPr>
    </w:p>
    <w:p w14:paraId="5A1E0224" w14:textId="77777777" w:rsidR="00CA0947" w:rsidRDefault="006343DB" w:rsidP="00406F5A">
      <w:pPr>
        <w:spacing w:line="276" w:lineRule="auto"/>
        <w:jc w:val="center"/>
        <w:rPr>
          <w:rFonts w:ascii="Arial" w:hAnsi="Arial" w:cs="Arial"/>
        </w:rPr>
      </w:pPr>
      <w:r w:rsidRPr="006343DB">
        <w:rPr>
          <w:noProof/>
          <w:lang w:val="es-ES"/>
        </w:rPr>
        <w:drawing>
          <wp:inline distT="0" distB="0" distL="0" distR="0" wp14:anchorId="56AC48A8" wp14:editId="2A6C34B7">
            <wp:extent cx="4815135" cy="717157"/>
            <wp:effectExtent l="0" t="0" r="508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2523" cy="719747"/>
                    </a:xfrm>
                    <a:prstGeom prst="rect">
                      <a:avLst/>
                    </a:prstGeom>
                    <a:noFill/>
                    <a:ln>
                      <a:noFill/>
                    </a:ln>
                  </pic:spPr>
                </pic:pic>
              </a:graphicData>
            </a:graphic>
          </wp:inline>
        </w:drawing>
      </w:r>
    </w:p>
    <w:p w14:paraId="4C44F83E" w14:textId="77777777" w:rsidR="009B0B40" w:rsidRPr="0013770B" w:rsidRDefault="009B0B40" w:rsidP="00852006">
      <w:pPr>
        <w:pStyle w:val="Ttulo1"/>
        <w:spacing w:before="200" w:line="276" w:lineRule="auto"/>
        <w:jc w:val="both"/>
        <w:rPr>
          <w:rFonts w:ascii="EurostileT" w:hAnsi="EurostileT"/>
          <w:color w:val="005BA6"/>
          <w:sz w:val="28"/>
          <w:szCs w:val="28"/>
        </w:rPr>
      </w:pPr>
      <w:bookmarkStart w:id="10" w:name="_Toc350855617"/>
      <w:r w:rsidRPr="0013770B">
        <w:rPr>
          <w:rFonts w:ascii="EurostileT" w:hAnsi="EurostileT"/>
          <w:color w:val="005BA6"/>
          <w:sz w:val="28"/>
          <w:szCs w:val="28"/>
        </w:rPr>
        <w:t xml:space="preserve">8. </w:t>
      </w:r>
      <w:r w:rsidRPr="0013770B">
        <w:rPr>
          <w:rFonts w:ascii="EurostileT" w:hAnsi="EurostileT"/>
          <w:color w:val="005BA6"/>
          <w:sz w:val="28"/>
          <w:szCs w:val="28"/>
        </w:rPr>
        <w:tab/>
        <w:t>INVERSIONES EN EL PATRIMOMIO DE EMPRESAS DEL GRUPO</w:t>
      </w:r>
      <w:bookmarkEnd w:id="10"/>
    </w:p>
    <w:p w14:paraId="0CF44236" w14:textId="77777777" w:rsidR="009B0B40" w:rsidRDefault="009B0B40" w:rsidP="00852006">
      <w:pPr>
        <w:spacing w:before="200" w:line="276" w:lineRule="auto"/>
        <w:jc w:val="both"/>
        <w:rPr>
          <w:rFonts w:ascii="Arial" w:hAnsi="Arial" w:cs="Arial"/>
        </w:rPr>
      </w:pPr>
      <w:r>
        <w:rPr>
          <w:rFonts w:ascii="Arial" w:hAnsi="Arial" w:cs="Arial"/>
        </w:rPr>
        <w:t xml:space="preserve">Dentro del Activo no Corriente del Balance y bajo el epígrafe de “Inversiones en empresas del grupo y asociadas a largo plazo”, la Sociedad contabiliza la inversión que tiene en el patrimonio de la sociedad “Instituto </w:t>
      </w:r>
      <w:proofErr w:type="spellStart"/>
      <w:r w:rsidR="000E2CEB">
        <w:rPr>
          <w:rFonts w:ascii="Arial" w:hAnsi="Arial" w:cs="Arial"/>
        </w:rPr>
        <w:t>L</w:t>
      </w:r>
      <w:r>
        <w:rPr>
          <w:rFonts w:ascii="Arial" w:hAnsi="Arial" w:cs="Arial"/>
        </w:rPr>
        <w:t>actológico</w:t>
      </w:r>
      <w:proofErr w:type="spellEnd"/>
      <w:r>
        <w:rPr>
          <w:rFonts w:ascii="Arial" w:hAnsi="Arial" w:cs="Arial"/>
        </w:rPr>
        <w:t xml:space="preserve"> de Lecumberri, S.A.” con domicilio social en Lecumberri, (Navarra), C/ Plazaola 23 y dedicada principalmente a la realización de análisis de leche cruda de ganaderías de vacuno, ovino y caprino de las comunidades de Navarra, País Vasco y La Rioja para el Pago por calidad, control lechero y controles sanitarios llevadas a cabo por las administraciones. </w:t>
      </w:r>
    </w:p>
    <w:p w14:paraId="119CC35F" w14:textId="77777777" w:rsidR="009B0B40" w:rsidRDefault="009B0B40" w:rsidP="00852006">
      <w:pPr>
        <w:spacing w:before="200" w:line="276" w:lineRule="auto"/>
        <w:jc w:val="both"/>
        <w:rPr>
          <w:rFonts w:ascii="Arial" w:hAnsi="Arial" w:cs="Arial"/>
        </w:rPr>
      </w:pPr>
      <w:r>
        <w:rPr>
          <w:rFonts w:ascii="Arial" w:hAnsi="Arial" w:cs="Arial"/>
        </w:rPr>
        <w:t>Esta partida representa el 50% de su capital social y está valorada en 30.050,61 euros.</w:t>
      </w:r>
    </w:p>
    <w:p w14:paraId="45FFDE5D" w14:textId="77777777" w:rsidR="009B0B40" w:rsidRDefault="009B0B40" w:rsidP="00852006">
      <w:pPr>
        <w:spacing w:before="200" w:line="276" w:lineRule="auto"/>
        <w:jc w:val="both"/>
        <w:rPr>
          <w:rFonts w:ascii="Arial" w:hAnsi="Arial" w:cs="Arial"/>
        </w:rPr>
      </w:pPr>
      <w:r>
        <w:rPr>
          <w:rFonts w:ascii="Arial" w:hAnsi="Arial" w:cs="Arial"/>
        </w:rPr>
        <w:t xml:space="preserve">La sociedad “Instituto </w:t>
      </w:r>
      <w:proofErr w:type="spellStart"/>
      <w:r>
        <w:rPr>
          <w:rFonts w:ascii="Arial" w:hAnsi="Arial" w:cs="Arial"/>
        </w:rPr>
        <w:t>Lactológico</w:t>
      </w:r>
      <w:proofErr w:type="spellEnd"/>
      <w:r>
        <w:rPr>
          <w:rFonts w:ascii="Arial" w:hAnsi="Arial" w:cs="Arial"/>
        </w:rPr>
        <w:t xml:space="preserve"> de Lecumberri, S.A.” no cotiza en bolsa y su valor teórico-contable deducido de las cuentas anuales, es superior al registrado por la Sociedad. No procede realizar correcciones valorativas por deterioro.</w:t>
      </w:r>
    </w:p>
    <w:p w14:paraId="0402813C" w14:textId="77777777" w:rsidR="00CA0947" w:rsidRDefault="009B0B40" w:rsidP="00CA0947">
      <w:pPr>
        <w:spacing w:before="200" w:line="276" w:lineRule="auto"/>
        <w:jc w:val="both"/>
        <w:rPr>
          <w:rFonts w:ascii="Arial" w:hAnsi="Arial" w:cs="Arial"/>
          <w:color w:val="FF0000"/>
        </w:rPr>
      </w:pPr>
      <w:r w:rsidRPr="001B7313">
        <w:rPr>
          <w:rFonts w:ascii="Arial" w:hAnsi="Arial" w:cs="Arial"/>
        </w:rPr>
        <w:t xml:space="preserve">En </w:t>
      </w:r>
      <w:r w:rsidR="00E94FF4">
        <w:rPr>
          <w:rFonts w:ascii="Arial" w:hAnsi="Arial" w:cs="Arial"/>
        </w:rPr>
        <w:t>2019</w:t>
      </w:r>
      <w:r w:rsidR="008A2893">
        <w:rPr>
          <w:rFonts w:ascii="Arial" w:hAnsi="Arial" w:cs="Arial"/>
        </w:rPr>
        <w:t xml:space="preserve"> y 201</w:t>
      </w:r>
      <w:r w:rsidR="00E94FF4">
        <w:rPr>
          <w:rFonts w:ascii="Arial" w:hAnsi="Arial" w:cs="Arial"/>
        </w:rPr>
        <w:t>8</w:t>
      </w:r>
      <w:r w:rsidRPr="001B7313">
        <w:rPr>
          <w:rFonts w:ascii="Arial" w:hAnsi="Arial" w:cs="Arial"/>
        </w:rPr>
        <w:t xml:space="preserve"> los libros de “Instituto </w:t>
      </w:r>
      <w:proofErr w:type="spellStart"/>
      <w:r w:rsidRPr="001B7313">
        <w:rPr>
          <w:rFonts w:ascii="Arial" w:hAnsi="Arial" w:cs="Arial"/>
        </w:rPr>
        <w:t>Lactológico</w:t>
      </w:r>
      <w:proofErr w:type="spellEnd"/>
      <w:r w:rsidRPr="001B7313">
        <w:rPr>
          <w:rFonts w:ascii="Arial" w:hAnsi="Arial" w:cs="Arial"/>
        </w:rPr>
        <w:t xml:space="preserve"> de Lecumberri, S.A.” presentan los siguientes datos</w:t>
      </w:r>
      <w:r w:rsidRPr="00D256EF">
        <w:rPr>
          <w:rFonts w:ascii="Arial" w:hAnsi="Arial" w:cs="Arial"/>
          <w:color w:val="FF0000"/>
        </w:rPr>
        <w:t>:</w:t>
      </w:r>
    </w:p>
    <w:p w14:paraId="6F24A067" w14:textId="77777777" w:rsidR="003E7A90" w:rsidRPr="00CA0947" w:rsidRDefault="003E7A90" w:rsidP="00CA0947">
      <w:pPr>
        <w:spacing w:before="200" w:line="276" w:lineRule="auto"/>
        <w:jc w:val="both"/>
        <w:rPr>
          <w:rFonts w:ascii="Arial" w:hAnsi="Arial" w:cs="Arial"/>
          <w:color w:val="FF0000"/>
        </w:rPr>
      </w:pPr>
    </w:p>
    <w:p w14:paraId="6B2A85CD" w14:textId="77777777" w:rsidR="00CA0947" w:rsidRDefault="006343DB" w:rsidP="00CA0947">
      <w:pPr>
        <w:jc w:val="center"/>
        <w:rPr>
          <w:lang w:val="es-ES"/>
        </w:rPr>
      </w:pPr>
      <w:r w:rsidRPr="006343DB">
        <w:rPr>
          <w:noProof/>
          <w:lang w:val="es-ES"/>
        </w:rPr>
        <w:drawing>
          <wp:inline distT="0" distB="0" distL="0" distR="0" wp14:anchorId="142F2899" wp14:editId="7035406F">
            <wp:extent cx="2822483" cy="1691932"/>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878" cy="1695765"/>
                    </a:xfrm>
                    <a:prstGeom prst="rect">
                      <a:avLst/>
                    </a:prstGeom>
                    <a:noFill/>
                    <a:ln>
                      <a:noFill/>
                    </a:ln>
                  </pic:spPr>
                </pic:pic>
              </a:graphicData>
            </a:graphic>
          </wp:inline>
        </w:drawing>
      </w:r>
    </w:p>
    <w:p w14:paraId="595C0960" w14:textId="77777777" w:rsidR="000F77D4" w:rsidRDefault="000F77D4" w:rsidP="00CA0947">
      <w:pPr>
        <w:jc w:val="center"/>
        <w:rPr>
          <w:lang w:val="es-ES"/>
        </w:rPr>
      </w:pPr>
    </w:p>
    <w:p w14:paraId="3AE0841D" w14:textId="77777777" w:rsidR="000F77D4" w:rsidRPr="00CA0947" w:rsidRDefault="000F77D4" w:rsidP="00CA0947">
      <w:pPr>
        <w:jc w:val="center"/>
        <w:rPr>
          <w:lang w:val="es-ES"/>
        </w:rPr>
      </w:pPr>
    </w:p>
    <w:p w14:paraId="52391703" w14:textId="77777777" w:rsidR="009B0B40" w:rsidRPr="0013770B" w:rsidRDefault="009B0B40" w:rsidP="00852006">
      <w:pPr>
        <w:pStyle w:val="Ttulo1"/>
        <w:spacing w:before="200" w:line="276" w:lineRule="auto"/>
        <w:rPr>
          <w:rFonts w:ascii="EurostileT" w:hAnsi="EurostileT"/>
          <w:color w:val="005BA6"/>
          <w:sz w:val="28"/>
          <w:szCs w:val="28"/>
        </w:rPr>
      </w:pPr>
      <w:bookmarkStart w:id="11" w:name="_Toc350855618"/>
      <w:r w:rsidRPr="0013770B">
        <w:rPr>
          <w:rFonts w:ascii="EurostileT" w:hAnsi="EurostileT"/>
          <w:color w:val="005BA6"/>
          <w:sz w:val="28"/>
          <w:szCs w:val="28"/>
        </w:rPr>
        <w:t>9. INSTRUMENTOS FINANCIEROS</w:t>
      </w:r>
      <w:bookmarkEnd w:id="11"/>
    </w:p>
    <w:p w14:paraId="7334BD0E" w14:textId="77777777" w:rsidR="009B0B40" w:rsidRDefault="009B0B40" w:rsidP="00852006">
      <w:pPr>
        <w:pStyle w:val="Ttulo2"/>
        <w:spacing w:before="200" w:line="276" w:lineRule="auto"/>
      </w:pPr>
      <w:r w:rsidRPr="007F4F2A">
        <w:t>9.1. Información sobre la relevancia de los instrumentos financieros en la situación financiera y los resultados de la empresa.</w:t>
      </w:r>
    </w:p>
    <w:p w14:paraId="4945C2AA" w14:textId="77777777" w:rsidR="009B0B40" w:rsidRPr="00AB7C5B" w:rsidRDefault="009B0B40" w:rsidP="00852006">
      <w:pPr>
        <w:pStyle w:val="Prrafodelista"/>
        <w:spacing w:before="200" w:line="276" w:lineRule="auto"/>
        <w:ind w:left="0"/>
        <w:jc w:val="both"/>
        <w:rPr>
          <w:rFonts w:ascii="Arial" w:hAnsi="Arial" w:cs="Arial"/>
          <w:b/>
          <w:color w:val="005BA6"/>
          <w:sz w:val="24"/>
          <w:szCs w:val="24"/>
        </w:rPr>
      </w:pPr>
      <w:r w:rsidRPr="00AB7C5B">
        <w:rPr>
          <w:rFonts w:ascii="Arial" w:hAnsi="Arial" w:cs="Arial"/>
          <w:b/>
          <w:color w:val="005BA6"/>
          <w:sz w:val="24"/>
          <w:szCs w:val="24"/>
        </w:rPr>
        <w:t>9.1.1.- Activos Financieros</w:t>
      </w:r>
    </w:p>
    <w:p w14:paraId="1449C1E9" w14:textId="77777777" w:rsidR="009B0B40" w:rsidRDefault="009B0B40" w:rsidP="00852006">
      <w:pPr>
        <w:spacing w:before="200" w:line="276" w:lineRule="auto"/>
        <w:jc w:val="both"/>
        <w:rPr>
          <w:rFonts w:ascii="Arial" w:hAnsi="Arial" w:cs="Arial"/>
        </w:rPr>
      </w:pPr>
      <w:r w:rsidRPr="004012E1">
        <w:rPr>
          <w:rFonts w:ascii="Arial" w:hAnsi="Arial" w:cs="Arial"/>
        </w:rPr>
        <w:t>El valor en libros de los activos financieros</w:t>
      </w:r>
      <w:r>
        <w:rPr>
          <w:rFonts w:ascii="Arial" w:hAnsi="Arial" w:cs="Arial"/>
        </w:rPr>
        <w:t xml:space="preserve"> de la Sociedad</w:t>
      </w:r>
      <w:r w:rsidRPr="004012E1">
        <w:rPr>
          <w:rFonts w:ascii="Arial" w:hAnsi="Arial" w:cs="Arial"/>
        </w:rPr>
        <w:t xml:space="preserve"> </w:t>
      </w:r>
      <w:r>
        <w:rPr>
          <w:rFonts w:ascii="Arial" w:hAnsi="Arial" w:cs="Arial"/>
        </w:rPr>
        <w:t>se recoge en la siguiente tabla diferenciándose el largo y corto plazo. Presentamos de igual modo los datos de la Socie</w:t>
      </w:r>
      <w:r w:rsidR="008F3BFA">
        <w:rPr>
          <w:rFonts w:ascii="Arial" w:hAnsi="Arial" w:cs="Arial"/>
        </w:rPr>
        <w:t>dad al cierre del ejercicio 201</w:t>
      </w:r>
      <w:r w:rsidR="00732139">
        <w:rPr>
          <w:rFonts w:ascii="Arial" w:hAnsi="Arial" w:cs="Arial"/>
        </w:rPr>
        <w:t>8</w:t>
      </w:r>
      <w:r>
        <w:rPr>
          <w:rFonts w:ascii="Arial" w:hAnsi="Arial" w:cs="Arial"/>
        </w:rPr>
        <w:t>.</w:t>
      </w:r>
    </w:p>
    <w:p w14:paraId="6CA0CC6D" w14:textId="77777777" w:rsidR="000E2CEB" w:rsidRDefault="006343DB" w:rsidP="00406F5A">
      <w:pPr>
        <w:spacing w:line="276" w:lineRule="auto"/>
        <w:jc w:val="center"/>
        <w:rPr>
          <w:rFonts w:ascii="Arial Narrow" w:hAnsi="Arial Narrow"/>
          <w:sz w:val="22"/>
          <w:szCs w:val="22"/>
        </w:rPr>
      </w:pPr>
      <w:r w:rsidRPr="006343DB">
        <w:rPr>
          <w:noProof/>
          <w:lang w:val="es-ES"/>
        </w:rPr>
        <w:drawing>
          <wp:inline distT="0" distB="0" distL="0" distR="0" wp14:anchorId="45F5CDC5" wp14:editId="01E3EAB1">
            <wp:extent cx="5063556" cy="2928779"/>
            <wp:effectExtent l="0" t="0" r="381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3091" cy="2928510"/>
                    </a:xfrm>
                    <a:prstGeom prst="rect">
                      <a:avLst/>
                    </a:prstGeom>
                    <a:noFill/>
                    <a:ln>
                      <a:noFill/>
                    </a:ln>
                  </pic:spPr>
                </pic:pic>
              </a:graphicData>
            </a:graphic>
          </wp:inline>
        </w:drawing>
      </w:r>
    </w:p>
    <w:p w14:paraId="6FCF680F" w14:textId="77777777" w:rsidR="000A36EF" w:rsidRDefault="009B0B40">
      <w:pPr>
        <w:spacing w:line="276" w:lineRule="auto"/>
        <w:jc w:val="center"/>
        <w:rPr>
          <w:rFonts w:ascii="Arial" w:hAnsi="Arial" w:cs="Arial"/>
          <w:color w:val="005BA6"/>
        </w:rPr>
      </w:pPr>
      <w:r w:rsidRPr="00AB7C5B">
        <w:rPr>
          <w:rFonts w:ascii="Arial" w:hAnsi="Arial" w:cs="Arial"/>
          <w:color w:val="005BA6"/>
        </w:rPr>
        <w:t>Instrumentos financieros a largo plazo</w:t>
      </w:r>
    </w:p>
    <w:p w14:paraId="02D7E809" w14:textId="77777777" w:rsidR="00966C81" w:rsidRDefault="00966C81" w:rsidP="00966C81">
      <w:pPr>
        <w:spacing w:before="200" w:line="276" w:lineRule="auto"/>
        <w:jc w:val="both"/>
        <w:rPr>
          <w:rFonts w:ascii="Arial" w:hAnsi="Arial" w:cs="Arial"/>
        </w:rPr>
      </w:pPr>
      <w:r w:rsidRPr="00787C69">
        <w:rPr>
          <w:rFonts w:ascii="Arial" w:hAnsi="Arial" w:cs="Arial"/>
        </w:rPr>
        <w:t xml:space="preserve">El valor en libros de los Instrumentos Financieros a largo plazo asciende a </w:t>
      </w:r>
      <w:r>
        <w:rPr>
          <w:rFonts w:ascii="Arial" w:hAnsi="Arial" w:cs="Arial"/>
        </w:rPr>
        <w:t>44.028,15</w:t>
      </w:r>
      <w:r w:rsidRPr="00787C69">
        <w:rPr>
          <w:rFonts w:ascii="Arial" w:hAnsi="Arial" w:cs="Arial"/>
        </w:rPr>
        <w:t>€. Al cierre del pasado ejercicio</w:t>
      </w:r>
      <w:r>
        <w:rPr>
          <w:rFonts w:ascii="Arial" w:hAnsi="Arial" w:cs="Arial"/>
        </w:rPr>
        <w:t>, en el Balance de la Sociedad</w:t>
      </w:r>
      <w:r w:rsidRPr="00787C69">
        <w:rPr>
          <w:rFonts w:ascii="Arial" w:hAnsi="Arial" w:cs="Arial"/>
        </w:rPr>
        <w:t>,</w:t>
      </w:r>
      <w:r>
        <w:rPr>
          <w:rFonts w:ascii="Arial" w:hAnsi="Arial" w:cs="Arial"/>
        </w:rPr>
        <w:t xml:space="preserve"> </w:t>
      </w:r>
      <w:r w:rsidRPr="00787C69">
        <w:rPr>
          <w:rFonts w:ascii="Arial" w:hAnsi="Arial" w:cs="Arial"/>
        </w:rPr>
        <w:t xml:space="preserve">la cifra ascendía a </w:t>
      </w:r>
      <w:r>
        <w:rPr>
          <w:rFonts w:ascii="Arial" w:hAnsi="Arial" w:cs="Arial"/>
        </w:rPr>
        <w:t>66.549,78</w:t>
      </w:r>
      <w:r w:rsidRPr="00787C69">
        <w:rPr>
          <w:rFonts w:ascii="Arial" w:hAnsi="Arial" w:cs="Arial"/>
        </w:rPr>
        <w:t>€.</w:t>
      </w:r>
      <w:r>
        <w:rPr>
          <w:rFonts w:ascii="Arial" w:hAnsi="Arial" w:cs="Arial"/>
        </w:rPr>
        <w:t xml:space="preserve">  </w:t>
      </w:r>
    </w:p>
    <w:p w14:paraId="2FED59FE" w14:textId="77777777" w:rsidR="004F4CD3" w:rsidRDefault="00966C81" w:rsidP="004F4CD3">
      <w:pPr>
        <w:spacing w:before="200" w:line="276" w:lineRule="auto"/>
        <w:jc w:val="both"/>
        <w:rPr>
          <w:rFonts w:ascii="Arial" w:hAnsi="Arial" w:cs="Arial"/>
        </w:rPr>
      </w:pPr>
      <w:r>
        <w:rPr>
          <w:rFonts w:ascii="Arial" w:hAnsi="Arial" w:cs="Arial"/>
        </w:rPr>
        <w:t>La evolución de las inversiones financieras a largo plazo de la Sociedad  se detalla a continuación</w:t>
      </w:r>
      <w:r w:rsidRPr="007B4E46">
        <w:rPr>
          <w:rFonts w:ascii="Arial" w:hAnsi="Arial" w:cs="Arial"/>
        </w:rPr>
        <w:t>:</w:t>
      </w:r>
    </w:p>
    <w:p w14:paraId="3FA22C02" w14:textId="77777777" w:rsidR="006F2433" w:rsidRDefault="006343DB" w:rsidP="00852006">
      <w:pPr>
        <w:spacing w:before="200" w:line="276" w:lineRule="auto"/>
        <w:jc w:val="both"/>
        <w:rPr>
          <w:rFonts w:ascii="Arial" w:hAnsi="Arial" w:cs="Arial"/>
        </w:rPr>
      </w:pPr>
      <w:r w:rsidRPr="006343DB">
        <w:rPr>
          <w:noProof/>
          <w:lang w:val="es-ES"/>
        </w:rPr>
        <w:drawing>
          <wp:inline distT="0" distB="0" distL="0" distR="0" wp14:anchorId="1FAF3FE6" wp14:editId="21332BDB">
            <wp:extent cx="4471574" cy="1486420"/>
            <wp:effectExtent l="0" t="0" r="571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82291" cy="1489982"/>
                    </a:xfrm>
                    <a:prstGeom prst="rect">
                      <a:avLst/>
                    </a:prstGeom>
                    <a:noFill/>
                    <a:ln>
                      <a:noFill/>
                    </a:ln>
                  </pic:spPr>
                </pic:pic>
              </a:graphicData>
            </a:graphic>
          </wp:inline>
        </w:drawing>
      </w:r>
    </w:p>
    <w:p w14:paraId="4B7F2530" w14:textId="77777777" w:rsidR="009B0B40" w:rsidRDefault="009B0B40" w:rsidP="00852006">
      <w:pPr>
        <w:spacing w:before="200" w:line="276" w:lineRule="auto"/>
        <w:jc w:val="both"/>
        <w:rPr>
          <w:rFonts w:ascii="Arial" w:hAnsi="Arial" w:cs="Arial"/>
        </w:rPr>
      </w:pPr>
      <w:r>
        <w:rPr>
          <w:rFonts w:ascii="Arial" w:hAnsi="Arial" w:cs="Arial"/>
        </w:rPr>
        <w:t xml:space="preserve">Bajo </w:t>
      </w:r>
      <w:r w:rsidRPr="00787C69">
        <w:rPr>
          <w:rFonts w:ascii="Arial" w:hAnsi="Arial" w:cs="Arial"/>
        </w:rPr>
        <w:t xml:space="preserve">el epígrafe de “Instrumentos de Patrimonio”, </w:t>
      </w:r>
      <w:r>
        <w:rPr>
          <w:rFonts w:ascii="Arial" w:hAnsi="Arial" w:cs="Arial"/>
        </w:rPr>
        <w:t xml:space="preserve">la Sociedad contabiliza </w:t>
      </w:r>
      <w:r w:rsidRPr="00787C69">
        <w:rPr>
          <w:rFonts w:ascii="Arial" w:hAnsi="Arial" w:cs="Arial"/>
        </w:rPr>
        <w:t xml:space="preserve">el valor </w:t>
      </w:r>
      <w:r>
        <w:rPr>
          <w:rFonts w:ascii="Arial" w:hAnsi="Arial" w:cs="Arial"/>
        </w:rPr>
        <w:t xml:space="preserve">de las participaciones en el capital de las siguientes empresas: Caja Rural, Coop. Vacuno de Navarra y </w:t>
      </w:r>
      <w:proofErr w:type="spellStart"/>
      <w:r>
        <w:rPr>
          <w:rFonts w:ascii="Arial" w:hAnsi="Arial" w:cs="Arial"/>
        </w:rPr>
        <w:t>Aberekin</w:t>
      </w:r>
      <w:proofErr w:type="spellEnd"/>
      <w:r>
        <w:rPr>
          <w:rFonts w:ascii="Arial" w:hAnsi="Arial" w:cs="Arial"/>
        </w:rPr>
        <w:t xml:space="preserve">, S.A. El importe de la participación en el capital social de Caja Rural corresponde al importe que dicha entidad exige a todos sus accionistas como Sociedad Cooperativa de Crédito. El porcentaje en el capital de la sociedad </w:t>
      </w:r>
      <w:proofErr w:type="spellStart"/>
      <w:r>
        <w:rPr>
          <w:rFonts w:ascii="Arial" w:hAnsi="Arial" w:cs="Arial"/>
        </w:rPr>
        <w:t>Aberekin</w:t>
      </w:r>
      <w:proofErr w:type="spellEnd"/>
      <w:r>
        <w:rPr>
          <w:rFonts w:ascii="Arial" w:hAnsi="Arial" w:cs="Arial"/>
        </w:rPr>
        <w:t xml:space="preserve">, S.A. es de 1,3% aportado en el momento de la incorporación de la sociedad extinguida </w:t>
      </w:r>
      <w:r w:rsidRPr="00151C24">
        <w:rPr>
          <w:rFonts w:ascii="Arial" w:hAnsi="Arial" w:cs="Arial"/>
        </w:rPr>
        <w:t>“Instituto Técnico y de Gestión Ganadero, S.A.U</w:t>
      </w:r>
      <w:r>
        <w:rPr>
          <w:rFonts w:cs="Arial"/>
        </w:rPr>
        <w:t xml:space="preserve">.” </w:t>
      </w:r>
      <w:r w:rsidRPr="005E3B55">
        <w:rPr>
          <w:rFonts w:ascii="Arial" w:hAnsi="Arial" w:cs="Arial"/>
        </w:rPr>
        <w:t>a la cooperativa</w:t>
      </w:r>
      <w:r>
        <w:rPr>
          <w:rFonts w:cs="Arial"/>
        </w:rPr>
        <w:t>.</w:t>
      </w:r>
      <w:r>
        <w:rPr>
          <w:rFonts w:ascii="Arial" w:hAnsi="Arial" w:cs="Arial"/>
        </w:rPr>
        <w:t xml:space="preserve"> La aportación a la Coop. Vacuno de Navarra se estableció en función del censo de ganado y es también del 1,3%.</w:t>
      </w:r>
      <w:r w:rsidR="008F3BFA">
        <w:rPr>
          <w:rFonts w:ascii="Arial" w:hAnsi="Arial" w:cs="Arial"/>
        </w:rPr>
        <w:t xml:space="preserve"> El valor registrado en 201</w:t>
      </w:r>
      <w:r w:rsidR="00732139">
        <w:rPr>
          <w:rFonts w:ascii="Arial" w:hAnsi="Arial" w:cs="Arial"/>
        </w:rPr>
        <w:t>9</w:t>
      </w:r>
      <w:r w:rsidR="008F3BFA">
        <w:rPr>
          <w:rFonts w:ascii="Arial" w:hAnsi="Arial" w:cs="Arial"/>
        </w:rPr>
        <w:t xml:space="preserve"> es de 43.667,54 euros. El importe no varía respecto al registrado en el ejercicio 201</w:t>
      </w:r>
      <w:r w:rsidR="006072FF">
        <w:rPr>
          <w:rFonts w:ascii="Arial" w:hAnsi="Arial" w:cs="Arial"/>
        </w:rPr>
        <w:t>7</w:t>
      </w:r>
    </w:p>
    <w:p w14:paraId="67C281D2" w14:textId="77777777" w:rsidR="00732139" w:rsidRDefault="00732139" w:rsidP="00852006">
      <w:pPr>
        <w:spacing w:before="200" w:line="276" w:lineRule="auto"/>
        <w:jc w:val="both"/>
        <w:rPr>
          <w:rFonts w:ascii="Arial" w:hAnsi="Arial" w:cs="Arial"/>
        </w:rPr>
      </w:pPr>
      <w:r>
        <w:rPr>
          <w:rFonts w:ascii="Arial" w:hAnsi="Arial" w:cs="Arial"/>
        </w:rPr>
        <w:t>Bajo el epígrafe de “Créditos, Derivados y Otros”, la Sociedad registra una fianza</w:t>
      </w:r>
      <w:r w:rsidRPr="007B4E46">
        <w:rPr>
          <w:rFonts w:ascii="Arial" w:hAnsi="Arial" w:cs="Arial"/>
        </w:rPr>
        <w:t xml:space="preserve"> que</w:t>
      </w:r>
      <w:r>
        <w:rPr>
          <w:rFonts w:ascii="Arial" w:hAnsi="Arial" w:cs="Arial"/>
        </w:rPr>
        <w:t xml:space="preserve"> a largo plazo tiene constituida</w:t>
      </w:r>
      <w:r w:rsidRPr="007B4E46">
        <w:rPr>
          <w:rFonts w:ascii="Arial" w:hAnsi="Arial" w:cs="Arial"/>
        </w:rPr>
        <w:t xml:space="preserve"> la Sociedad</w:t>
      </w:r>
      <w:r w:rsidR="0067778E">
        <w:rPr>
          <w:rFonts w:ascii="Arial" w:hAnsi="Arial" w:cs="Arial"/>
        </w:rPr>
        <w:t>. E</w:t>
      </w:r>
      <w:r w:rsidRPr="007B4E46">
        <w:rPr>
          <w:rFonts w:ascii="Arial" w:hAnsi="Arial" w:cs="Arial"/>
        </w:rPr>
        <w:t>stá</w:t>
      </w:r>
      <w:r>
        <w:rPr>
          <w:rFonts w:ascii="Arial" w:hAnsi="Arial" w:cs="Arial"/>
        </w:rPr>
        <w:t xml:space="preserve"> contabilizada</w:t>
      </w:r>
      <w:r w:rsidRPr="007B4E46">
        <w:rPr>
          <w:rFonts w:ascii="Arial" w:hAnsi="Arial" w:cs="Arial"/>
        </w:rPr>
        <w:t xml:space="preserve"> como “Otros Activos Financieros” del Activo no corriente del Balance.</w:t>
      </w:r>
      <w:r>
        <w:rPr>
          <w:rFonts w:ascii="Arial" w:hAnsi="Arial" w:cs="Arial"/>
        </w:rPr>
        <w:t xml:space="preserve"> El saldo al cierre del ejercicio asciende a 360,61 euros, mismo importe que en 201</w:t>
      </w:r>
      <w:r w:rsidR="0067778E">
        <w:rPr>
          <w:rFonts w:ascii="Arial" w:hAnsi="Arial" w:cs="Arial"/>
        </w:rPr>
        <w:t>8</w:t>
      </w:r>
      <w:r>
        <w:rPr>
          <w:rFonts w:ascii="Arial" w:hAnsi="Arial" w:cs="Arial"/>
        </w:rPr>
        <w:t>.</w:t>
      </w:r>
    </w:p>
    <w:p w14:paraId="2BFB37E5" w14:textId="77777777" w:rsidR="0067778E" w:rsidRDefault="0067778E" w:rsidP="00852006">
      <w:pPr>
        <w:spacing w:before="200" w:line="276" w:lineRule="auto"/>
        <w:jc w:val="both"/>
        <w:rPr>
          <w:rFonts w:ascii="Arial" w:hAnsi="Arial" w:cs="Arial"/>
        </w:rPr>
      </w:pPr>
      <w:r>
        <w:rPr>
          <w:rFonts w:ascii="Arial" w:hAnsi="Arial" w:cs="Arial"/>
        </w:rPr>
        <w:t>En el ejercicio pasado y b</w:t>
      </w:r>
      <w:r w:rsidR="009B0B40">
        <w:rPr>
          <w:rFonts w:ascii="Arial" w:hAnsi="Arial" w:cs="Arial"/>
        </w:rPr>
        <w:t>ajo el</w:t>
      </w:r>
      <w:r>
        <w:rPr>
          <w:rFonts w:ascii="Arial" w:hAnsi="Arial" w:cs="Arial"/>
        </w:rPr>
        <w:t xml:space="preserve"> mismo</w:t>
      </w:r>
      <w:r w:rsidR="009B0B40">
        <w:rPr>
          <w:rFonts w:ascii="Arial" w:hAnsi="Arial" w:cs="Arial"/>
        </w:rPr>
        <w:t xml:space="preserve"> epígrafe</w:t>
      </w:r>
      <w:r w:rsidR="009B0B40" w:rsidRPr="00787C69">
        <w:rPr>
          <w:rFonts w:ascii="Arial" w:hAnsi="Arial" w:cs="Arial"/>
        </w:rPr>
        <w:t xml:space="preserve">, </w:t>
      </w:r>
      <w:r w:rsidR="009B0B40">
        <w:rPr>
          <w:rFonts w:ascii="Arial" w:hAnsi="Arial" w:cs="Arial"/>
        </w:rPr>
        <w:t>la Sociedad registra</w:t>
      </w:r>
      <w:r>
        <w:rPr>
          <w:rFonts w:ascii="Arial" w:hAnsi="Arial" w:cs="Arial"/>
        </w:rPr>
        <w:t>ba</w:t>
      </w:r>
      <w:r w:rsidR="009B0B40">
        <w:rPr>
          <w:rFonts w:ascii="Arial" w:hAnsi="Arial" w:cs="Arial"/>
        </w:rPr>
        <w:t xml:space="preserve"> </w:t>
      </w:r>
      <w:r w:rsidR="009B0B40" w:rsidRPr="00787C69">
        <w:rPr>
          <w:rFonts w:ascii="Arial" w:hAnsi="Arial" w:cs="Arial"/>
        </w:rPr>
        <w:t>la parte de los préstamos concedidos por la empresa, en su papel de instrumento de la Comunidad Foral de Nav</w:t>
      </w:r>
      <w:r w:rsidR="00D8346C">
        <w:rPr>
          <w:rFonts w:ascii="Arial" w:hAnsi="Arial" w:cs="Arial"/>
        </w:rPr>
        <w:t>arra para la financiación de</w:t>
      </w:r>
      <w:r w:rsidR="009B0B40" w:rsidRPr="00787C69">
        <w:rPr>
          <w:rFonts w:ascii="Arial" w:hAnsi="Arial" w:cs="Arial"/>
        </w:rPr>
        <w:t xml:space="preserve"> obras de  transformación en </w:t>
      </w:r>
      <w:r w:rsidRPr="00787C69">
        <w:rPr>
          <w:rFonts w:ascii="Arial" w:hAnsi="Arial" w:cs="Arial"/>
        </w:rPr>
        <w:t>regadío</w:t>
      </w:r>
      <w:r>
        <w:rPr>
          <w:rFonts w:ascii="Arial" w:hAnsi="Arial" w:cs="Arial"/>
        </w:rPr>
        <w:t>.</w:t>
      </w:r>
      <w:r w:rsidRPr="00787C69">
        <w:rPr>
          <w:rFonts w:ascii="Arial" w:hAnsi="Arial" w:cs="Arial"/>
        </w:rPr>
        <w:t xml:space="preserve"> </w:t>
      </w:r>
    </w:p>
    <w:p w14:paraId="5F9C2787" w14:textId="77777777" w:rsidR="009B0B40" w:rsidRDefault="009B0B40" w:rsidP="00AB7C5B">
      <w:pPr>
        <w:tabs>
          <w:tab w:val="center" w:pos="4320"/>
        </w:tabs>
        <w:spacing w:before="200" w:line="276" w:lineRule="auto"/>
        <w:jc w:val="both"/>
        <w:rPr>
          <w:rFonts w:ascii="Arial" w:hAnsi="Arial" w:cs="Arial"/>
        </w:rPr>
      </w:pPr>
      <w:r w:rsidRPr="00787C69">
        <w:rPr>
          <w:rFonts w:ascii="Arial" w:hAnsi="Arial" w:cs="Arial"/>
        </w:rPr>
        <w:t>El valor de los créditos con</w:t>
      </w:r>
      <w:r w:rsidR="0067778E">
        <w:rPr>
          <w:rFonts w:ascii="Arial" w:hAnsi="Arial" w:cs="Arial"/>
        </w:rPr>
        <w:t xml:space="preserve">cedidos por la Sociedad euros </w:t>
      </w:r>
      <w:r w:rsidR="0067778E" w:rsidRPr="00787C69">
        <w:rPr>
          <w:rFonts w:ascii="Arial" w:hAnsi="Arial" w:cs="Arial"/>
        </w:rPr>
        <w:t>contabilizados dentro</w:t>
      </w:r>
      <w:r w:rsidR="0067778E">
        <w:rPr>
          <w:rFonts w:ascii="Arial" w:hAnsi="Arial" w:cs="Arial"/>
        </w:rPr>
        <w:t xml:space="preserve"> </w:t>
      </w:r>
      <w:r w:rsidR="0067778E" w:rsidRPr="00787C69">
        <w:rPr>
          <w:rFonts w:ascii="Arial" w:hAnsi="Arial" w:cs="Arial"/>
        </w:rPr>
        <w:t>de la partida “Créditos a terceros”</w:t>
      </w:r>
      <w:r w:rsidR="0067778E">
        <w:rPr>
          <w:rFonts w:ascii="Arial" w:hAnsi="Arial" w:cs="Arial"/>
        </w:rPr>
        <w:t xml:space="preserve"> dentro del Activo no C</w:t>
      </w:r>
      <w:r w:rsidR="0067778E" w:rsidRPr="00787C69">
        <w:rPr>
          <w:rFonts w:ascii="Arial" w:hAnsi="Arial" w:cs="Arial"/>
        </w:rPr>
        <w:t>orriente</w:t>
      </w:r>
      <w:r w:rsidR="0067778E">
        <w:rPr>
          <w:rFonts w:ascii="Arial" w:hAnsi="Arial" w:cs="Arial"/>
        </w:rPr>
        <w:t xml:space="preserve">  ascendía</w:t>
      </w:r>
      <w:r w:rsidRPr="00787C69">
        <w:rPr>
          <w:rFonts w:ascii="Arial" w:hAnsi="Arial" w:cs="Arial"/>
        </w:rPr>
        <w:t xml:space="preserve"> a </w:t>
      </w:r>
      <w:r w:rsidR="00B74274">
        <w:rPr>
          <w:rFonts w:ascii="Arial" w:hAnsi="Arial" w:cs="Arial"/>
        </w:rPr>
        <w:t>22.521,63</w:t>
      </w:r>
      <w:r w:rsidR="00D8346F">
        <w:rPr>
          <w:rFonts w:ascii="Arial" w:hAnsi="Arial" w:cs="Arial"/>
        </w:rPr>
        <w:t xml:space="preserve">. </w:t>
      </w:r>
      <w:r w:rsidR="00B74274">
        <w:rPr>
          <w:rFonts w:ascii="Arial" w:hAnsi="Arial" w:cs="Arial"/>
        </w:rPr>
        <w:t>La totalidad de los créditos vencen en el ejercicio 2020</w:t>
      </w:r>
      <w:r w:rsidR="001A11B4">
        <w:rPr>
          <w:rFonts w:ascii="Arial" w:hAnsi="Arial" w:cs="Arial"/>
        </w:rPr>
        <w:t xml:space="preserve"> po</w:t>
      </w:r>
      <w:r w:rsidR="00D8346C">
        <w:rPr>
          <w:rFonts w:ascii="Arial" w:hAnsi="Arial" w:cs="Arial"/>
        </w:rPr>
        <w:t>r lo que al cierre del ejercicio 2019</w:t>
      </w:r>
      <w:r w:rsidR="00966C81">
        <w:rPr>
          <w:rFonts w:ascii="Arial" w:hAnsi="Arial" w:cs="Arial"/>
        </w:rPr>
        <w:t>, se ha traspasado a corto plazo el importe de los créditos con vencimiento en el ejercicio 2020.</w:t>
      </w:r>
    </w:p>
    <w:p w14:paraId="04A54FFF" w14:textId="77777777" w:rsidR="009B0B40" w:rsidRPr="00AB7C5B" w:rsidRDefault="009B0B40" w:rsidP="00AB7C5B">
      <w:pPr>
        <w:tabs>
          <w:tab w:val="center" w:pos="4320"/>
        </w:tabs>
        <w:spacing w:before="200" w:line="276" w:lineRule="auto"/>
        <w:jc w:val="both"/>
        <w:rPr>
          <w:rFonts w:ascii="Arial" w:hAnsi="Arial" w:cs="Arial"/>
          <w:color w:val="005BA6"/>
        </w:rPr>
      </w:pPr>
      <w:r w:rsidRPr="00AB7C5B">
        <w:rPr>
          <w:rFonts w:ascii="Arial" w:hAnsi="Arial" w:cs="Arial"/>
          <w:color w:val="005BA6"/>
        </w:rPr>
        <w:t>Instrumentos financieros a corto plazo</w:t>
      </w:r>
    </w:p>
    <w:p w14:paraId="54FA96F8" w14:textId="77777777" w:rsidR="009B0B40" w:rsidRDefault="009B0B40" w:rsidP="00852006">
      <w:pPr>
        <w:spacing w:before="200" w:line="276" w:lineRule="auto"/>
        <w:jc w:val="both"/>
        <w:rPr>
          <w:rFonts w:ascii="Arial" w:hAnsi="Arial" w:cs="Arial"/>
        </w:rPr>
      </w:pPr>
      <w:r w:rsidRPr="00C71697">
        <w:rPr>
          <w:rFonts w:ascii="Arial" w:hAnsi="Arial" w:cs="Arial"/>
        </w:rPr>
        <w:t>El valor en libros de los “Instrumentos Financieros a corto plazo” en 2</w:t>
      </w:r>
      <w:r>
        <w:rPr>
          <w:rFonts w:ascii="Arial" w:hAnsi="Arial" w:cs="Arial"/>
        </w:rPr>
        <w:t>01</w:t>
      </w:r>
      <w:r w:rsidR="00A1099E">
        <w:rPr>
          <w:rFonts w:ascii="Arial" w:hAnsi="Arial" w:cs="Arial"/>
        </w:rPr>
        <w:t>9</w:t>
      </w:r>
      <w:r w:rsidRPr="00C71697">
        <w:rPr>
          <w:rFonts w:ascii="Arial" w:hAnsi="Arial" w:cs="Arial"/>
        </w:rPr>
        <w:t xml:space="preserve"> asciende a </w:t>
      </w:r>
      <w:r w:rsidR="00A1099E">
        <w:rPr>
          <w:rFonts w:ascii="Arial" w:hAnsi="Arial" w:cs="Arial"/>
        </w:rPr>
        <w:t>13.063.975,54</w:t>
      </w:r>
      <w:r>
        <w:rPr>
          <w:rFonts w:ascii="Arial" w:hAnsi="Arial" w:cs="Arial"/>
        </w:rPr>
        <w:t xml:space="preserve"> euros</w:t>
      </w:r>
      <w:r w:rsidRPr="00C71697">
        <w:rPr>
          <w:rFonts w:ascii="Arial" w:hAnsi="Arial" w:cs="Arial"/>
        </w:rPr>
        <w:t>. Al cierre del ejercicio 20</w:t>
      </w:r>
      <w:r>
        <w:rPr>
          <w:rFonts w:ascii="Arial" w:hAnsi="Arial" w:cs="Arial"/>
        </w:rPr>
        <w:t>1</w:t>
      </w:r>
      <w:r w:rsidR="00A1099E">
        <w:rPr>
          <w:rFonts w:ascii="Arial" w:hAnsi="Arial" w:cs="Arial"/>
        </w:rPr>
        <w:t>8</w:t>
      </w:r>
      <w:r>
        <w:rPr>
          <w:rFonts w:ascii="Arial" w:hAnsi="Arial" w:cs="Arial"/>
        </w:rPr>
        <w:t xml:space="preserve"> </w:t>
      </w:r>
      <w:r w:rsidRPr="00C71697">
        <w:rPr>
          <w:rFonts w:ascii="Arial" w:hAnsi="Arial" w:cs="Arial"/>
        </w:rPr>
        <w:t xml:space="preserve"> la cifra ascendía a </w:t>
      </w:r>
      <w:r w:rsidR="00A1099E">
        <w:rPr>
          <w:rFonts w:ascii="Arial" w:hAnsi="Arial" w:cs="Arial"/>
        </w:rPr>
        <w:t>12.233.948,05</w:t>
      </w:r>
      <w:r>
        <w:rPr>
          <w:rFonts w:ascii="Arial" w:hAnsi="Arial" w:cs="Arial"/>
        </w:rPr>
        <w:t xml:space="preserve"> euros</w:t>
      </w:r>
      <w:r w:rsidRPr="00C71697">
        <w:rPr>
          <w:rFonts w:ascii="Arial" w:hAnsi="Arial" w:cs="Arial"/>
        </w:rPr>
        <w:t>.</w:t>
      </w:r>
      <w:r>
        <w:rPr>
          <w:rFonts w:ascii="Arial" w:hAnsi="Arial" w:cs="Arial"/>
        </w:rPr>
        <w:t xml:space="preserve"> </w:t>
      </w:r>
    </w:p>
    <w:p w14:paraId="2C7E7DD0" w14:textId="77777777" w:rsidR="00406F5A" w:rsidRDefault="009B0B40" w:rsidP="00852006">
      <w:pPr>
        <w:spacing w:before="200" w:line="276" w:lineRule="auto"/>
        <w:jc w:val="both"/>
        <w:rPr>
          <w:rFonts w:ascii="Arial" w:hAnsi="Arial" w:cs="Arial"/>
        </w:rPr>
      </w:pPr>
      <w:r>
        <w:rPr>
          <w:rFonts w:ascii="Arial" w:hAnsi="Arial" w:cs="Arial"/>
        </w:rPr>
        <w:t>Bajo el epígrafe de “Créditos Derivados Otros”, la Sociedad registra el saldo</w:t>
      </w:r>
      <w:r w:rsidR="00966C81">
        <w:rPr>
          <w:rFonts w:ascii="Arial" w:hAnsi="Arial" w:cs="Arial"/>
        </w:rPr>
        <w:t xml:space="preserve"> al cierre del ejercicio 2019,</w:t>
      </w:r>
      <w:r>
        <w:rPr>
          <w:rFonts w:ascii="Arial" w:hAnsi="Arial" w:cs="Arial"/>
        </w:rPr>
        <w:t xml:space="preserve"> de la partida</w:t>
      </w:r>
      <w:r w:rsidR="00966C81">
        <w:rPr>
          <w:rFonts w:ascii="Arial" w:hAnsi="Arial" w:cs="Arial"/>
        </w:rPr>
        <w:t xml:space="preserve"> “Inversiones en empresas del grupo y asociadas a corto plazo”</w:t>
      </w:r>
      <w:r>
        <w:rPr>
          <w:rFonts w:ascii="Arial" w:hAnsi="Arial" w:cs="Arial"/>
        </w:rPr>
        <w:t>,</w:t>
      </w:r>
      <w:r w:rsidR="00406F5A">
        <w:rPr>
          <w:rFonts w:ascii="Arial" w:hAnsi="Arial" w:cs="Arial"/>
        </w:rPr>
        <w:t xml:space="preserve"> el importe de las facturas pendientes de cobro al Departamento de Desarrollo Rural, Medioambiente y Administración Local, por importe de </w:t>
      </w:r>
      <w:r w:rsidR="00A1099E">
        <w:rPr>
          <w:rFonts w:ascii="Arial" w:hAnsi="Arial" w:cs="Arial"/>
        </w:rPr>
        <w:t>6.876.652,79</w:t>
      </w:r>
      <w:r w:rsidR="00406F5A">
        <w:rPr>
          <w:rFonts w:ascii="Arial" w:hAnsi="Arial" w:cs="Arial"/>
        </w:rPr>
        <w:t xml:space="preserve"> euros</w:t>
      </w:r>
      <w:r w:rsidR="00966C81">
        <w:rPr>
          <w:rFonts w:ascii="Arial" w:hAnsi="Arial" w:cs="Arial"/>
        </w:rPr>
        <w:t>.</w:t>
      </w:r>
      <w:r w:rsidR="00406F5A">
        <w:rPr>
          <w:rFonts w:ascii="Arial" w:hAnsi="Arial" w:cs="Arial"/>
        </w:rPr>
        <w:t xml:space="preserve"> (</w:t>
      </w:r>
      <w:r w:rsidR="00A1099E">
        <w:rPr>
          <w:rFonts w:ascii="Arial" w:hAnsi="Arial" w:cs="Arial"/>
        </w:rPr>
        <w:t>3.711.620,57</w:t>
      </w:r>
      <w:r w:rsidR="00406F5A">
        <w:rPr>
          <w:rFonts w:ascii="Arial" w:hAnsi="Arial" w:cs="Arial"/>
        </w:rPr>
        <w:t xml:space="preserve"> euros al cierre del ejercicio 201</w:t>
      </w:r>
      <w:r w:rsidR="00A1099E">
        <w:rPr>
          <w:rFonts w:ascii="Arial" w:hAnsi="Arial" w:cs="Arial"/>
        </w:rPr>
        <w:t>8</w:t>
      </w:r>
      <w:r w:rsidR="00406F5A">
        <w:rPr>
          <w:rFonts w:ascii="Arial" w:hAnsi="Arial" w:cs="Arial"/>
        </w:rPr>
        <w:t>) por la repercusión de los saldos a pagar por la Sociedad a las sociedades concesionarias de las Obras de la Zona Regable del Canal de Navarra,</w:t>
      </w:r>
      <w:r>
        <w:rPr>
          <w:rFonts w:ascii="Arial" w:hAnsi="Arial" w:cs="Arial"/>
        </w:rPr>
        <w:t xml:space="preserve"> el importe de los créditos concedidos a Ayuntamientos y Comunidades de Regantes</w:t>
      </w:r>
      <w:r w:rsidR="00444C1B">
        <w:rPr>
          <w:rFonts w:ascii="Arial" w:hAnsi="Arial" w:cs="Arial"/>
        </w:rPr>
        <w:t xml:space="preserve"> </w:t>
      </w:r>
      <w:r w:rsidR="00183C38">
        <w:rPr>
          <w:rFonts w:ascii="Arial" w:hAnsi="Arial" w:cs="Arial"/>
        </w:rPr>
        <w:t>así como los importes de las fianzas</w:t>
      </w:r>
      <w:r w:rsidR="00373CD9">
        <w:rPr>
          <w:rFonts w:ascii="Arial" w:hAnsi="Arial" w:cs="Arial"/>
        </w:rPr>
        <w:t xml:space="preserve"> y depósitos</w:t>
      </w:r>
      <w:r w:rsidR="00183C38">
        <w:rPr>
          <w:rFonts w:ascii="Arial" w:hAnsi="Arial" w:cs="Arial"/>
        </w:rPr>
        <w:t xml:space="preserve"> </w:t>
      </w:r>
      <w:r w:rsidR="00373CD9">
        <w:rPr>
          <w:rFonts w:ascii="Arial" w:hAnsi="Arial" w:cs="Arial"/>
        </w:rPr>
        <w:t>constituido</w:t>
      </w:r>
      <w:r>
        <w:rPr>
          <w:rFonts w:ascii="Arial" w:hAnsi="Arial" w:cs="Arial"/>
        </w:rPr>
        <w:t xml:space="preserve">s a corto plazo. </w:t>
      </w:r>
    </w:p>
    <w:p w14:paraId="0BAD669D" w14:textId="77777777" w:rsidR="009B0B40" w:rsidRDefault="009B0B40" w:rsidP="00852006">
      <w:pPr>
        <w:spacing w:before="200" w:line="276" w:lineRule="auto"/>
        <w:jc w:val="both"/>
        <w:rPr>
          <w:rFonts w:ascii="Arial" w:hAnsi="Arial" w:cs="Arial"/>
        </w:rPr>
      </w:pPr>
      <w:r>
        <w:rPr>
          <w:rFonts w:ascii="Arial" w:hAnsi="Arial" w:cs="Arial"/>
        </w:rPr>
        <w:t xml:space="preserve">El epígrafe de “Préstamos y partidas a cobrar”  recoge, entre otros conceptos,  el saldo de la partida “Deudores comerciales y otras cuentas a cobrar” del Activo Corriente salvo los saldos con administraciones públicas. </w:t>
      </w:r>
    </w:p>
    <w:p w14:paraId="1646448B" w14:textId="77777777" w:rsidR="009B0B40" w:rsidRDefault="009B0B40" w:rsidP="00852006">
      <w:pPr>
        <w:tabs>
          <w:tab w:val="center" w:pos="4320"/>
        </w:tabs>
        <w:spacing w:before="200" w:line="276" w:lineRule="auto"/>
        <w:jc w:val="both"/>
        <w:rPr>
          <w:rFonts w:ascii="Arial" w:hAnsi="Arial" w:cs="Arial"/>
        </w:rPr>
      </w:pPr>
      <w:r>
        <w:rPr>
          <w:rFonts w:ascii="Arial" w:hAnsi="Arial" w:cs="Arial"/>
        </w:rPr>
        <w:t xml:space="preserve">El detalle de la partida “Deudores comerciales y otras cuentas a cobrar” en </w:t>
      </w:r>
      <w:r w:rsidR="00373CD9">
        <w:rPr>
          <w:rFonts w:ascii="Arial" w:hAnsi="Arial" w:cs="Arial"/>
        </w:rPr>
        <w:t>201</w:t>
      </w:r>
      <w:r w:rsidR="00A1099E">
        <w:rPr>
          <w:rFonts w:ascii="Arial" w:hAnsi="Arial" w:cs="Arial"/>
        </w:rPr>
        <w:t>9</w:t>
      </w:r>
      <w:r w:rsidR="00373CD9">
        <w:rPr>
          <w:rFonts w:ascii="Arial" w:hAnsi="Arial" w:cs="Arial"/>
        </w:rPr>
        <w:t xml:space="preserve"> y 201</w:t>
      </w:r>
      <w:r w:rsidR="00A1099E">
        <w:rPr>
          <w:rFonts w:ascii="Arial" w:hAnsi="Arial" w:cs="Arial"/>
        </w:rPr>
        <w:t>8</w:t>
      </w:r>
      <w:r>
        <w:rPr>
          <w:rFonts w:ascii="Arial" w:hAnsi="Arial" w:cs="Arial"/>
        </w:rPr>
        <w:t xml:space="preserve"> es el que sigue:</w:t>
      </w:r>
    </w:p>
    <w:p w14:paraId="20C0421E" w14:textId="77777777" w:rsidR="00852006" w:rsidRDefault="006343DB" w:rsidP="00406F5A">
      <w:pPr>
        <w:tabs>
          <w:tab w:val="center" w:pos="4320"/>
        </w:tabs>
        <w:spacing w:line="276" w:lineRule="auto"/>
        <w:jc w:val="center"/>
        <w:rPr>
          <w:noProof/>
          <w:lang w:val="es-ES"/>
        </w:rPr>
      </w:pPr>
      <w:r w:rsidRPr="006343DB">
        <w:rPr>
          <w:noProof/>
          <w:lang w:val="es-ES"/>
        </w:rPr>
        <w:drawing>
          <wp:inline distT="0" distB="0" distL="0" distR="0" wp14:anchorId="43263E1C" wp14:editId="2D2991F0">
            <wp:extent cx="4513859" cy="1301575"/>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3983" cy="1301611"/>
                    </a:xfrm>
                    <a:prstGeom prst="rect">
                      <a:avLst/>
                    </a:prstGeom>
                    <a:noFill/>
                    <a:ln>
                      <a:noFill/>
                    </a:ln>
                  </pic:spPr>
                </pic:pic>
              </a:graphicData>
            </a:graphic>
          </wp:inline>
        </w:drawing>
      </w:r>
    </w:p>
    <w:p w14:paraId="0AB54687" w14:textId="77777777" w:rsidR="00373CD9" w:rsidRDefault="00373CD9" w:rsidP="00406F5A">
      <w:pPr>
        <w:tabs>
          <w:tab w:val="center" w:pos="4320"/>
        </w:tabs>
        <w:spacing w:line="276" w:lineRule="auto"/>
        <w:jc w:val="both"/>
        <w:rPr>
          <w:rFonts w:ascii="Arial" w:hAnsi="Arial" w:cs="Arial"/>
        </w:rPr>
      </w:pPr>
    </w:p>
    <w:p w14:paraId="675F6369" w14:textId="77777777" w:rsidR="009B0B40" w:rsidRDefault="009B0B40" w:rsidP="00406F5A">
      <w:pPr>
        <w:tabs>
          <w:tab w:val="center" w:pos="4320"/>
        </w:tabs>
        <w:spacing w:line="276" w:lineRule="auto"/>
        <w:jc w:val="both"/>
        <w:rPr>
          <w:rFonts w:ascii="Arial" w:hAnsi="Arial" w:cs="Arial"/>
        </w:rPr>
      </w:pPr>
      <w:r>
        <w:rPr>
          <w:rFonts w:ascii="Arial" w:hAnsi="Arial" w:cs="Arial"/>
        </w:rPr>
        <w:t>La partida “Clientes por ventas o prestación de servicios” recoge, entre otros conceptos, los créditos comerciales que se originan de la prestación de servicios.</w:t>
      </w:r>
    </w:p>
    <w:p w14:paraId="5175A017" w14:textId="77777777" w:rsidR="009B0B40" w:rsidRDefault="009B0B40" w:rsidP="00852006">
      <w:pPr>
        <w:spacing w:before="200" w:line="276" w:lineRule="auto"/>
        <w:jc w:val="both"/>
        <w:rPr>
          <w:rFonts w:ascii="Arial" w:hAnsi="Arial" w:cs="Arial"/>
        </w:rPr>
      </w:pPr>
      <w:r>
        <w:rPr>
          <w:rFonts w:ascii="Arial" w:hAnsi="Arial" w:cs="Arial"/>
        </w:rPr>
        <w:t>El saldo global de esta partida a 31 de diciembre</w:t>
      </w:r>
      <w:r w:rsidR="0061775C">
        <w:rPr>
          <w:rFonts w:ascii="Arial" w:hAnsi="Arial" w:cs="Arial"/>
        </w:rPr>
        <w:t xml:space="preserve"> de 201</w:t>
      </w:r>
      <w:r w:rsidR="009C56CF">
        <w:rPr>
          <w:rFonts w:ascii="Arial" w:hAnsi="Arial" w:cs="Arial"/>
        </w:rPr>
        <w:t>9</w:t>
      </w:r>
      <w:r w:rsidR="0061775C">
        <w:rPr>
          <w:rFonts w:ascii="Arial" w:hAnsi="Arial" w:cs="Arial"/>
        </w:rPr>
        <w:t xml:space="preserve"> asciende a </w:t>
      </w:r>
      <w:r w:rsidR="009C56CF">
        <w:rPr>
          <w:rFonts w:ascii="Arial" w:hAnsi="Arial" w:cs="Arial"/>
        </w:rPr>
        <w:t>863.736,92</w:t>
      </w:r>
      <w:r>
        <w:rPr>
          <w:rFonts w:ascii="Arial" w:hAnsi="Arial" w:cs="Arial"/>
        </w:rPr>
        <w:t xml:space="preserve"> euros. En 201</w:t>
      </w:r>
      <w:r w:rsidR="009C56CF">
        <w:rPr>
          <w:rFonts w:ascii="Arial" w:hAnsi="Arial" w:cs="Arial"/>
        </w:rPr>
        <w:t>8</w:t>
      </w:r>
      <w:r>
        <w:rPr>
          <w:rFonts w:ascii="Arial" w:hAnsi="Arial" w:cs="Arial"/>
        </w:rPr>
        <w:t xml:space="preserve"> el importe ascendía a </w:t>
      </w:r>
      <w:r w:rsidR="009C56CF">
        <w:rPr>
          <w:rFonts w:ascii="Arial" w:hAnsi="Arial" w:cs="Arial"/>
        </w:rPr>
        <w:t>1.103.127,91</w:t>
      </w:r>
      <w:r w:rsidR="008F1869">
        <w:rPr>
          <w:rFonts w:ascii="Arial" w:hAnsi="Arial" w:cs="Arial"/>
        </w:rPr>
        <w:t xml:space="preserve"> </w:t>
      </w:r>
      <w:r>
        <w:rPr>
          <w:rFonts w:ascii="Arial" w:hAnsi="Arial" w:cs="Arial"/>
        </w:rPr>
        <w:t xml:space="preserve">euros. </w:t>
      </w:r>
    </w:p>
    <w:p w14:paraId="288B703E" w14:textId="77777777" w:rsidR="009B0B40" w:rsidRDefault="009B0B40" w:rsidP="00852006">
      <w:pPr>
        <w:spacing w:before="200" w:line="276" w:lineRule="auto"/>
        <w:jc w:val="both"/>
        <w:rPr>
          <w:rFonts w:ascii="Arial" w:hAnsi="Arial" w:cs="Arial"/>
        </w:rPr>
      </w:pPr>
      <w:r w:rsidRPr="006130E8">
        <w:rPr>
          <w:rFonts w:ascii="Arial" w:hAnsi="Arial" w:cs="Arial"/>
        </w:rPr>
        <w:t>La partida “Clientes, empresas del grupo y asociadas” recoge</w:t>
      </w:r>
      <w:r>
        <w:rPr>
          <w:rFonts w:ascii="Arial" w:hAnsi="Arial" w:cs="Arial"/>
        </w:rPr>
        <w:t xml:space="preserve"> principalmente</w:t>
      </w:r>
      <w:r w:rsidRPr="006130E8">
        <w:rPr>
          <w:rFonts w:ascii="Arial" w:hAnsi="Arial" w:cs="Arial"/>
        </w:rPr>
        <w:t xml:space="preserve"> el saldo pendiente de cobro de  los importes que la Sociedad ha facturado  a Gobierno de Navarra </w:t>
      </w:r>
      <w:r>
        <w:rPr>
          <w:rFonts w:ascii="Arial" w:hAnsi="Arial" w:cs="Arial"/>
        </w:rPr>
        <w:t>en el e</w:t>
      </w:r>
      <w:r w:rsidRPr="006130E8">
        <w:rPr>
          <w:rFonts w:ascii="Arial" w:hAnsi="Arial" w:cs="Arial"/>
        </w:rPr>
        <w:t>jercicio 201</w:t>
      </w:r>
      <w:r w:rsidR="009C56CF">
        <w:rPr>
          <w:rFonts w:ascii="Arial" w:hAnsi="Arial" w:cs="Arial"/>
        </w:rPr>
        <w:t>9</w:t>
      </w:r>
      <w:r w:rsidRPr="006130E8">
        <w:rPr>
          <w:rFonts w:ascii="Arial" w:hAnsi="Arial" w:cs="Arial"/>
        </w:rPr>
        <w:t>.</w:t>
      </w:r>
      <w:r w:rsidR="004D2DB6">
        <w:rPr>
          <w:rFonts w:ascii="Arial" w:hAnsi="Arial" w:cs="Arial"/>
        </w:rPr>
        <w:t xml:space="preserve"> Esta partida también recoge los saldos pendientes de cobro de los importes que la Sociedad ha facturado a otras empresas del grupo (Nota 19).</w:t>
      </w:r>
      <w:r w:rsidRPr="006130E8">
        <w:rPr>
          <w:rFonts w:ascii="Arial" w:hAnsi="Arial" w:cs="Arial"/>
        </w:rPr>
        <w:t xml:space="preserve"> </w:t>
      </w:r>
      <w:r>
        <w:rPr>
          <w:rFonts w:ascii="Arial" w:hAnsi="Arial" w:cs="Arial"/>
        </w:rPr>
        <w:t xml:space="preserve">El importe de este saldo al cierre del ejercicio </w:t>
      </w:r>
      <w:r w:rsidRPr="006130E8">
        <w:rPr>
          <w:rFonts w:ascii="Arial" w:hAnsi="Arial" w:cs="Arial"/>
        </w:rPr>
        <w:t xml:space="preserve"> asciende a </w:t>
      </w:r>
      <w:r w:rsidR="009C56CF">
        <w:rPr>
          <w:rFonts w:ascii="Arial" w:hAnsi="Arial" w:cs="Arial"/>
        </w:rPr>
        <w:t>998.565,62</w:t>
      </w:r>
      <w:r w:rsidRPr="006130E8">
        <w:rPr>
          <w:rFonts w:ascii="Arial" w:hAnsi="Arial" w:cs="Arial"/>
        </w:rPr>
        <w:t xml:space="preserve"> euros</w:t>
      </w:r>
      <w:r>
        <w:rPr>
          <w:rFonts w:ascii="Arial" w:hAnsi="Arial" w:cs="Arial"/>
        </w:rPr>
        <w:t xml:space="preserve"> </w:t>
      </w:r>
      <w:r w:rsidRPr="006130E8">
        <w:rPr>
          <w:rFonts w:ascii="Arial" w:hAnsi="Arial" w:cs="Arial"/>
        </w:rPr>
        <w:t>(</w:t>
      </w:r>
      <w:r w:rsidR="00D90C5C">
        <w:rPr>
          <w:rFonts w:ascii="Arial" w:hAnsi="Arial" w:cs="Arial"/>
        </w:rPr>
        <w:t>2.091.423,52 e</w:t>
      </w:r>
      <w:r>
        <w:rPr>
          <w:rFonts w:ascii="Arial" w:hAnsi="Arial" w:cs="Arial"/>
        </w:rPr>
        <w:t>uros en 201</w:t>
      </w:r>
      <w:r w:rsidR="009C56CF">
        <w:rPr>
          <w:rFonts w:ascii="Arial" w:hAnsi="Arial" w:cs="Arial"/>
        </w:rPr>
        <w:t>8</w:t>
      </w:r>
      <w:r w:rsidR="004D2DB6">
        <w:rPr>
          <w:rFonts w:ascii="Arial" w:hAnsi="Arial" w:cs="Arial"/>
        </w:rPr>
        <w:t>)</w:t>
      </w:r>
    </w:p>
    <w:p w14:paraId="085DC4DB" w14:textId="77777777" w:rsidR="00983984" w:rsidRDefault="009B0B40" w:rsidP="00852006">
      <w:pPr>
        <w:spacing w:before="200" w:line="276" w:lineRule="auto"/>
        <w:jc w:val="both"/>
        <w:rPr>
          <w:rFonts w:ascii="Arial" w:hAnsi="Arial" w:cs="Arial"/>
        </w:rPr>
      </w:pPr>
      <w:r>
        <w:rPr>
          <w:rFonts w:ascii="Arial" w:hAnsi="Arial" w:cs="Arial"/>
        </w:rPr>
        <w:t xml:space="preserve">La Sociedad recoge en “Deudores Varios” </w:t>
      </w:r>
      <w:r w:rsidRPr="004E712A">
        <w:rPr>
          <w:rFonts w:ascii="Arial" w:hAnsi="Arial" w:cs="Arial"/>
        </w:rPr>
        <w:t xml:space="preserve">los importes de </w:t>
      </w:r>
      <w:r w:rsidR="00A2109D">
        <w:rPr>
          <w:rFonts w:ascii="Arial" w:hAnsi="Arial" w:cs="Arial"/>
        </w:rPr>
        <w:t xml:space="preserve">las subvenciones que al cierre del ejercicio tiene pendiente de cobro. </w:t>
      </w:r>
      <w:r w:rsidR="00983984">
        <w:rPr>
          <w:rFonts w:ascii="Arial" w:hAnsi="Arial" w:cs="Arial"/>
        </w:rPr>
        <w:t>Al cierre del ejercicio 201</w:t>
      </w:r>
      <w:r w:rsidR="009C56CF">
        <w:rPr>
          <w:rFonts w:ascii="Arial" w:hAnsi="Arial" w:cs="Arial"/>
        </w:rPr>
        <w:t>9</w:t>
      </w:r>
      <w:r w:rsidR="00983984">
        <w:rPr>
          <w:rFonts w:ascii="Arial" w:hAnsi="Arial" w:cs="Arial"/>
        </w:rPr>
        <w:t xml:space="preserve"> el saldo </w:t>
      </w:r>
      <w:r w:rsidR="00305939">
        <w:rPr>
          <w:rFonts w:ascii="Arial" w:hAnsi="Arial" w:cs="Arial"/>
        </w:rPr>
        <w:t>ascendía</w:t>
      </w:r>
      <w:r w:rsidR="00983984">
        <w:rPr>
          <w:rFonts w:ascii="Arial" w:hAnsi="Arial" w:cs="Arial"/>
        </w:rPr>
        <w:t xml:space="preserve"> a </w:t>
      </w:r>
      <w:r w:rsidR="009C56CF">
        <w:rPr>
          <w:rFonts w:ascii="Arial" w:hAnsi="Arial" w:cs="Arial"/>
        </w:rPr>
        <w:t>3.252.185,97</w:t>
      </w:r>
      <w:r w:rsidR="00983984">
        <w:rPr>
          <w:rFonts w:ascii="Arial" w:hAnsi="Arial" w:cs="Arial"/>
        </w:rPr>
        <w:t xml:space="preserve"> euros. Al cierre del ejercicio 201</w:t>
      </w:r>
      <w:r w:rsidR="009C56CF">
        <w:rPr>
          <w:rFonts w:ascii="Arial" w:hAnsi="Arial" w:cs="Arial"/>
        </w:rPr>
        <w:t>8</w:t>
      </w:r>
      <w:r w:rsidR="00983984">
        <w:rPr>
          <w:rFonts w:ascii="Arial" w:hAnsi="Arial" w:cs="Arial"/>
        </w:rPr>
        <w:t xml:space="preserve"> la parida ascendía a </w:t>
      </w:r>
      <w:r w:rsidR="009C56CF">
        <w:rPr>
          <w:rFonts w:ascii="Arial" w:hAnsi="Arial" w:cs="Arial"/>
        </w:rPr>
        <w:t>4.299.918,95</w:t>
      </w:r>
      <w:r w:rsidR="00983984">
        <w:rPr>
          <w:rFonts w:ascii="Arial" w:hAnsi="Arial" w:cs="Arial"/>
        </w:rPr>
        <w:t xml:space="preserve"> euros.</w:t>
      </w:r>
    </w:p>
    <w:p w14:paraId="1055C03B" w14:textId="77777777" w:rsidR="009B0B40" w:rsidRDefault="009B0B40" w:rsidP="00852006">
      <w:pPr>
        <w:spacing w:before="200" w:line="276" w:lineRule="auto"/>
        <w:jc w:val="both"/>
        <w:rPr>
          <w:rFonts w:ascii="Arial" w:hAnsi="Arial" w:cs="Arial"/>
        </w:rPr>
      </w:pPr>
      <w:r w:rsidRPr="005E3C90">
        <w:rPr>
          <w:rFonts w:ascii="Arial" w:hAnsi="Arial" w:cs="Arial"/>
        </w:rPr>
        <w:t xml:space="preserve">El epígrafe </w:t>
      </w:r>
      <w:r>
        <w:rPr>
          <w:rFonts w:ascii="Arial" w:hAnsi="Arial" w:cs="Arial"/>
        </w:rPr>
        <w:t xml:space="preserve">“Préstamos y partidas a cobrar” recoge de igual modo el saldo de </w:t>
      </w:r>
      <w:r w:rsidR="00841F32">
        <w:rPr>
          <w:rFonts w:ascii="Arial" w:hAnsi="Arial" w:cs="Arial"/>
        </w:rPr>
        <w:t xml:space="preserve">las “Inversiones financieras a corto plazo - </w:t>
      </w:r>
      <w:r>
        <w:rPr>
          <w:rFonts w:ascii="Arial" w:hAnsi="Arial" w:cs="Arial"/>
        </w:rPr>
        <w:t>Créditos a empresas”  del Activo Corriente.</w:t>
      </w:r>
      <w:r w:rsidR="00841F32">
        <w:rPr>
          <w:rFonts w:ascii="Arial" w:hAnsi="Arial" w:cs="Arial"/>
        </w:rPr>
        <w:t xml:space="preserve"> Dicho importe se corresponde con los créditos que la Sociedad concede a los Ayuntamientos y Comunidades de Regantes. </w:t>
      </w:r>
      <w:r>
        <w:rPr>
          <w:rFonts w:ascii="Arial" w:hAnsi="Arial" w:cs="Arial"/>
        </w:rPr>
        <w:t xml:space="preserve">El saldo al cierre del </w:t>
      </w:r>
      <w:r w:rsidR="00610882">
        <w:rPr>
          <w:rFonts w:ascii="Arial" w:hAnsi="Arial" w:cs="Arial"/>
        </w:rPr>
        <w:t xml:space="preserve">ejercicio asciende a 983.588,52 </w:t>
      </w:r>
      <w:r>
        <w:rPr>
          <w:rFonts w:ascii="Arial" w:hAnsi="Arial" w:cs="Arial"/>
        </w:rPr>
        <w:t xml:space="preserve">euros </w:t>
      </w:r>
      <w:r w:rsidR="00610882">
        <w:rPr>
          <w:rFonts w:ascii="Arial" w:hAnsi="Arial" w:cs="Arial"/>
        </w:rPr>
        <w:t xml:space="preserve">en el ejercicio </w:t>
      </w:r>
      <w:r>
        <w:rPr>
          <w:rFonts w:ascii="Arial" w:hAnsi="Arial" w:cs="Arial"/>
        </w:rPr>
        <w:t>201</w:t>
      </w:r>
      <w:r w:rsidR="009C56CF">
        <w:rPr>
          <w:rFonts w:ascii="Arial" w:hAnsi="Arial" w:cs="Arial"/>
        </w:rPr>
        <w:t>9</w:t>
      </w:r>
      <w:r w:rsidR="00610882">
        <w:rPr>
          <w:rFonts w:ascii="Arial" w:hAnsi="Arial" w:cs="Arial"/>
        </w:rPr>
        <w:t>, (1.018.676,57 euros en el ejercicio 2018) de los cuales 63.835,58 euros corresponden a cuotas vencidas, (66.222,34 euros en el ejercicio 2018.</w:t>
      </w:r>
    </w:p>
    <w:p w14:paraId="44BC5387" w14:textId="77777777" w:rsidR="009B0B40" w:rsidRPr="008D1425" w:rsidRDefault="009B0B40" w:rsidP="00852006">
      <w:pPr>
        <w:tabs>
          <w:tab w:val="left" w:pos="720"/>
          <w:tab w:val="center" w:pos="4320"/>
        </w:tabs>
        <w:spacing w:before="200" w:line="276" w:lineRule="auto"/>
        <w:jc w:val="both"/>
        <w:rPr>
          <w:rFonts w:ascii="Arial" w:hAnsi="Arial" w:cs="Arial"/>
        </w:rPr>
      </w:pPr>
      <w:r w:rsidRPr="008D1425">
        <w:rPr>
          <w:rFonts w:ascii="Arial" w:hAnsi="Arial" w:cs="Arial"/>
        </w:rPr>
        <w:t xml:space="preserve">El saldo de esta partida recoge de igual modo, el importe de las provisiones por insolvencias de crédito que a corto plazo tiene dotadas la empresa. El importe de dichas provisiones asciende a </w:t>
      </w:r>
      <w:r w:rsidR="0037266E">
        <w:rPr>
          <w:rFonts w:ascii="Arial" w:hAnsi="Arial" w:cs="Arial"/>
        </w:rPr>
        <w:t>63.992,23</w:t>
      </w:r>
      <w:r w:rsidRPr="008D1425">
        <w:rPr>
          <w:rFonts w:ascii="Arial" w:hAnsi="Arial" w:cs="Arial"/>
        </w:rPr>
        <w:t xml:space="preserve"> euros</w:t>
      </w:r>
      <w:r w:rsidR="00610882">
        <w:rPr>
          <w:rFonts w:ascii="Arial" w:hAnsi="Arial" w:cs="Arial"/>
        </w:rPr>
        <w:t xml:space="preserve"> en el ejercicio 2019 y 2018.</w:t>
      </w:r>
    </w:p>
    <w:p w14:paraId="07DD2F73" w14:textId="77777777" w:rsidR="009B0B40" w:rsidRDefault="009B0B40" w:rsidP="00852006">
      <w:pPr>
        <w:tabs>
          <w:tab w:val="left" w:pos="720"/>
          <w:tab w:val="center" w:pos="4320"/>
        </w:tabs>
        <w:spacing w:before="200" w:line="276" w:lineRule="auto"/>
        <w:jc w:val="both"/>
        <w:rPr>
          <w:rFonts w:ascii="Arial" w:hAnsi="Arial" w:cs="Arial"/>
        </w:rPr>
      </w:pPr>
      <w:r>
        <w:rPr>
          <w:rFonts w:ascii="Arial" w:hAnsi="Arial" w:cs="Arial"/>
        </w:rPr>
        <w:t xml:space="preserve">A continuación se incluye cuadro resumen de préstamos concedidos a los Ayuntamientos y Comunidades de Regantes </w:t>
      </w:r>
      <w:r w:rsidR="002244F2">
        <w:rPr>
          <w:rFonts w:ascii="Arial" w:hAnsi="Arial" w:cs="Arial"/>
        </w:rPr>
        <w:t>pendientes de amortizar al 31 de diciembre de 201</w:t>
      </w:r>
      <w:r w:rsidR="00E732D6">
        <w:rPr>
          <w:rFonts w:ascii="Arial" w:hAnsi="Arial" w:cs="Arial"/>
        </w:rPr>
        <w:t>8</w:t>
      </w:r>
      <w:r w:rsidR="002244F2">
        <w:rPr>
          <w:rFonts w:ascii="Arial" w:hAnsi="Arial" w:cs="Arial"/>
        </w:rPr>
        <w:t xml:space="preserve"> y 31 de diciembre de 201</w:t>
      </w:r>
      <w:r w:rsidR="00E732D6">
        <w:rPr>
          <w:rFonts w:ascii="Arial" w:hAnsi="Arial" w:cs="Arial"/>
        </w:rPr>
        <w:t>9</w:t>
      </w:r>
      <w:r w:rsidR="00A51BBB">
        <w:rPr>
          <w:rFonts w:ascii="Arial" w:hAnsi="Arial" w:cs="Arial"/>
        </w:rPr>
        <w:t xml:space="preserve"> y </w:t>
      </w:r>
      <w:r w:rsidR="00EB12F8">
        <w:rPr>
          <w:rFonts w:ascii="Arial" w:hAnsi="Arial" w:cs="Arial"/>
        </w:rPr>
        <w:t>descripción de la situación:</w:t>
      </w:r>
    </w:p>
    <w:p w14:paraId="4B71F43E" w14:textId="77777777" w:rsidR="00852006" w:rsidRDefault="00852006" w:rsidP="00852006">
      <w:pPr>
        <w:tabs>
          <w:tab w:val="left" w:pos="720"/>
          <w:tab w:val="center" w:pos="4320"/>
        </w:tabs>
        <w:spacing w:before="200" w:line="276" w:lineRule="auto"/>
        <w:jc w:val="both"/>
        <w:rPr>
          <w:rFonts w:ascii="Arial" w:hAnsi="Arial" w:cs="Arial"/>
        </w:rPr>
      </w:pPr>
    </w:p>
    <w:p w14:paraId="6DB3C177" w14:textId="77777777" w:rsidR="009B0B40" w:rsidRDefault="009B0B40" w:rsidP="00A95BF6">
      <w:pPr>
        <w:tabs>
          <w:tab w:val="left" w:pos="720"/>
          <w:tab w:val="center" w:pos="4320"/>
        </w:tabs>
        <w:spacing w:line="360" w:lineRule="auto"/>
        <w:jc w:val="both"/>
        <w:rPr>
          <w:rFonts w:ascii="Arial" w:hAnsi="Arial" w:cs="Arial"/>
        </w:rPr>
        <w:sectPr w:rsidR="009B0B40" w:rsidSect="00AB7C5B">
          <w:headerReference w:type="default" r:id="rId31"/>
          <w:footerReference w:type="default" r:id="rId32"/>
          <w:pgSz w:w="11907" w:h="16840" w:code="9"/>
          <w:pgMar w:top="2097" w:right="1417" w:bottom="1418" w:left="1418" w:header="567" w:footer="172" w:gutter="0"/>
          <w:paperSrc w:first="1" w:other="1"/>
          <w:cols w:space="720"/>
          <w:noEndnote/>
        </w:sectPr>
      </w:pPr>
    </w:p>
    <w:p w14:paraId="2411F55B" w14:textId="77777777" w:rsidR="00E732D6" w:rsidRDefault="00E732D6" w:rsidP="00DD010A">
      <w:pPr>
        <w:rPr>
          <w:rFonts w:ascii="Arial" w:hAnsi="Arial" w:cs="Arial"/>
          <w:noProof/>
          <w:lang w:val="es-ES"/>
        </w:rPr>
      </w:pPr>
    </w:p>
    <w:p w14:paraId="5FFE791A" w14:textId="77777777" w:rsidR="00E732D6" w:rsidRDefault="00E732D6" w:rsidP="00E732D6">
      <w:pPr>
        <w:jc w:val="center"/>
        <w:rPr>
          <w:rFonts w:ascii="Arial" w:hAnsi="Arial" w:cs="Arial"/>
          <w:noProof/>
          <w:lang w:val="es-ES"/>
        </w:rPr>
      </w:pPr>
    </w:p>
    <w:p w14:paraId="4078BA81" w14:textId="77777777" w:rsidR="00851D9E" w:rsidRDefault="006343DB" w:rsidP="00E732D6">
      <w:pPr>
        <w:jc w:val="center"/>
      </w:pPr>
      <w:r w:rsidRPr="006343DB">
        <w:rPr>
          <w:noProof/>
          <w:lang w:val="es-ES"/>
        </w:rPr>
        <w:drawing>
          <wp:inline distT="0" distB="0" distL="0" distR="0" wp14:anchorId="2ED06EE4" wp14:editId="0D3AFE58">
            <wp:extent cx="8460740" cy="1633288"/>
            <wp:effectExtent l="0" t="0" r="0"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60740" cy="1633288"/>
                    </a:xfrm>
                    <a:prstGeom prst="rect">
                      <a:avLst/>
                    </a:prstGeom>
                    <a:noFill/>
                    <a:ln>
                      <a:noFill/>
                    </a:ln>
                  </pic:spPr>
                </pic:pic>
              </a:graphicData>
            </a:graphic>
          </wp:inline>
        </w:drawing>
      </w:r>
      <w:r w:rsidR="00E732D6" w:rsidRPr="00E732D6">
        <w:t xml:space="preserve"> </w:t>
      </w:r>
    </w:p>
    <w:p w14:paraId="7297BB74" w14:textId="77777777" w:rsidR="00851D9E" w:rsidRDefault="00851D9E" w:rsidP="00E732D6">
      <w:pPr>
        <w:jc w:val="center"/>
      </w:pPr>
    </w:p>
    <w:p w14:paraId="41FF541E" w14:textId="77777777" w:rsidR="009B0B40" w:rsidRPr="00DD010A" w:rsidRDefault="006343DB" w:rsidP="00E732D6">
      <w:pPr>
        <w:jc w:val="center"/>
        <w:rPr>
          <w:rFonts w:ascii="Arial" w:hAnsi="Arial" w:cs="Arial"/>
        </w:rPr>
        <w:sectPr w:rsidR="009B0B40" w:rsidRPr="00DD010A" w:rsidSect="002B266B">
          <w:headerReference w:type="default" r:id="rId34"/>
          <w:footerReference w:type="default" r:id="rId35"/>
          <w:pgSz w:w="16840" w:h="11907" w:orient="landscape" w:code="9"/>
          <w:pgMar w:top="1418" w:right="2098" w:bottom="1418" w:left="1418" w:header="567" w:footer="851" w:gutter="0"/>
          <w:paperSrc w:first="15" w:other="15"/>
          <w:cols w:space="720"/>
          <w:noEndnote/>
        </w:sectPr>
      </w:pPr>
      <w:r w:rsidRPr="006343DB">
        <w:rPr>
          <w:noProof/>
          <w:lang w:val="es-ES"/>
        </w:rPr>
        <w:drawing>
          <wp:inline distT="0" distB="0" distL="0" distR="0" wp14:anchorId="2B3C1D75" wp14:editId="3C42E0C7">
            <wp:extent cx="8460740" cy="2186754"/>
            <wp:effectExtent l="0" t="0" r="0"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60740" cy="2186754"/>
                    </a:xfrm>
                    <a:prstGeom prst="rect">
                      <a:avLst/>
                    </a:prstGeom>
                    <a:noFill/>
                    <a:ln>
                      <a:noFill/>
                    </a:ln>
                  </pic:spPr>
                </pic:pic>
              </a:graphicData>
            </a:graphic>
          </wp:inline>
        </w:drawing>
      </w:r>
      <w:r w:rsidR="00B252BE">
        <w:rPr>
          <w:rFonts w:ascii="Arial" w:hAnsi="Arial" w:cs="Arial"/>
          <w:noProof/>
          <w:lang w:val="es-ES"/>
        </w:rPr>
        <w:br w:type="page"/>
      </w:r>
    </w:p>
    <w:p w14:paraId="7B4AC9DA" w14:textId="77777777" w:rsidR="009B0B40" w:rsidRPr="00D75DC0" w:rsidRDefault="009B0B40" w:rsidP="00D75DC0">
      <w:pPr>
        <w:tabs>
          <w:tab w:val="center" w:pos="4320"/>
        </w:tabs>
        <w:spacing w:before="200" w:line="276" w:lineRule="auto"/>
        <w:ind w:left="851" w:right="566"/>
        <w:jc w:val="both"/>
        <w:rPr>
          <w:rFonts w:ascii="Arial" w:hAnsi="Arial" w:cs="Arial"/>
          <w:i/>
          <w:color w:val="005BA6"/>
          <w:sz w:val="18"/>
          <w:szCs w:val="18"/>
        </w:rPr>
      </w:pPr>
      <w:r w:rsidRPr="00D75DC0">
        <w:rPr>
          <w:rFonts w:ascii="Arial" w:hAnsi="Arial" w:cs="Arial"/>
          <w:i/>
          <w:color w:val="005BA6"/>
          <w:sz w:val="18"/>
          <w:szCs w:val="18"/>
        </w:rPr>
        <w:t>Nota aclaratoria “Préstamo Valtierra La Quemada”:</w:t>
      </w:r>
    </w:p>
    <w:p w14:paraId="7F2EB0EB" w14:textId="77777777" w:rsidR="009B0B40" w:rsidRPr="00D75DC0" w:rsidRDefault="009B0B40" w:rsidP="00D75DC0">
      <w:pPr>
        <w:tabs>
          <w:tab w:val="center" w:pos="4320"/>
        </w:tabs>
        <w:spacing w:before="200" w:line="276" w:lineRule="auto"/>
        <w:ind w:left="851" w:right="566"/>
        <w:jc w:val="both"/>
        <w:rPr>
          <w:rFonts w:ascii="Arial" w:hAnsi="Arial" w:cs="Arial"/>
          <w:i/>
          <w:sz w:val="18"/>
          <w:szCs w:val="18"/>
        </w:rPr>
      </w:pPr>
      <w:r w:rsidRPr="00D75DC0">
        <w:rPr>
          <w:rFonts w:ascii="Arial" w:hAnsi="Arial" w:cs="Arial"/>
          <w:i/>
          <w:sz w:val="18"/>
          <w:szCs w:val="18"/>
        </w:rPr>
        <w:t>La Ley 18/1994 de Reforma de Infraestructura Agrícolas, en su disposición transitoria primera establecía la posibilidad de que los beneficiarios de préstamos concedidos por el Gobierno de Navarra a través de Riegos de Navarra, S.A. refinanciaran su deuda, amortizando el préstamo a cambio de una cantidad a aportar de una sola vez.</w:t>
      </w:r>
    </w:p>
    <w:p w14:paraId="3D4629F9" w14:textId="77777777" w:rsidR="009B0B40" w:rsidRPr="00D75DC0" w:rsidRDefault="009B0B40" w:rsidP="00D75DC0">
      <w:pPr>
        <w:tabs>
          <w:tab w:val="center" w:pos="4320"/>
        </w:tabs>
        <w:spacing w:before="200" w:line="276" w:lineRule="auto"/>
        <w:ind w:left="851" w:right="566"/>
        <w:jc w:val="both"/>
        <w:rPr>
          <w:rFonts w:ascii="Arial" w:hAnsi="Arial" w:cs="Arial"/>
          <w:i/>
          <w:sz w:val="18"/>
          <w:szCs w:val="18"/>
        </w:rPr>
      </w:pPr>
      <w:r w:rsidRPr="00D75DC0">
        <w:rPr>
          <w:rFonts w:ascii="Arial" w:hAnsi="Arial" w:cs="Arial"/>
          <w:i/>
          <w:sz w:val="18"/>
          <w:szCs w:val="18"/>
        </w:rPr>
        <w:t>A la fecha de formulación de las cuentas se encuentra pendiente la aprobación por el Gobierno de Navarra, cumplidos todos los trámites previos, el expediente correspondiente al préstamo “Valtierra La Quemada”. El saldo del préstamo se consigna a corto plazo dado que la Sociedad considera que se resolverá a lo largo del ejercicio 20</w:t>
      </w:r>
      <w:r w:rsidR="00E97B41">
        <w:rPr>
          <w:rFonts w:ascii="Arial" w:hAnsi="Arial" w:cs="Arial"/>
          <w:i/>
          <w:sz w:val="18"/>
          <w:szCs w:val="18"/>
        </w:rPr>
        <w:t>20</w:t>
      </w:r>
      <w:r w:rsidRPr="00D75DC0">
        <w:rPr>
          <w:rFonts w:ascii="Arial" w:hAnsi="Arial" w:cs="Arial"/>
          <w:i/>
          <w:sz w:val="18"/>
          <w:szCs w:val="18"/>
        </w:rPr>
        <w:t>.</w:t>
      </w:r>
    </w:p>
    <w:p w14:paraId="47C50003" w14:textId="77777777" w:rsidR="009B0B40" w:rsidRDefault="009B0B40" w:rsidP="00852006">
      <w:pPr>
        <w:tabs>
          <w:tab w:val="left" w:pos="720"/>
          <w:tab w:val="center" w:pos="4320"/>
        </w:tabs>
        <w:spacing w:before="200" w:line="276" w:lineRule="auto"/>
        <w:jc w:val="both"/>
        <w:rPr>
          <w:rFonts w:ascii="Arial" w:hAnsi="Arial" w:cs="Arial"/>
        </w:rPr>
      </w:pPr>
      <w:r>
        <w:rPr>
          <w:rFonts w:ascii="Arial" w:hAnsi="Arial" w:cs="Arial"/>
        </w:rPr>
        <w:t>El epígrafe “Préstamos y Partidas a Cobrar” recoge, por último, y b</w:t>
      </w:r>
      <w:r w:rsidRPr="00B50BFF">
        <w:rPr>
          <w:rFonts w:ascii="Arial" w:hAnsi="Arial" w:cs="Arial"/>
        </w:rPr>
        <w:t>ajo la partida de “</w:t>
      </w:r>
      <w:r w:rsidR="00953FEC">
        <w:rPr>
          <w:rFonts w:ascii="Arial" w:hAnsi="Arial" w:cs="Arial"/>
        </w:rPr>
        <w:t xml:space="preserve">Inversiones financieras a corto plazo - </w:t>
      </w:r>
      <w:r w:rsidRPr="00B50BFF">
        <w:rPr>
          <w:rFonts w:ascii="Arial" w:hAnsi="Arial" w:cs="Arial"/>
        </w:rPr>
        <w:t xml:space="preserve">Otros activos financieros” los depósitos y fianzas que a corto plazo tiene constituidos. El importe de las fianzas y depósitos constituidos asciende a </w:t>
      </w:r>
      <w:r w:rsidR="00E97B41">
        <w:rPr>
          <w:rFonts w:ascii="Arial" w:hAnsi="Arial" w:cs="Arial"/>
        </w:rPr>
        <w:t>153.237,95</w:t>
      </w:r>
      <w:r>
        <w:rPr>
          <w:rFonts w:ascii="Arial" w:hAnsi="Arial" w:cs="Arial"/>
        </w:rPr>
        <w:t xml:space="preserve"> euros.</w:t>
      </w:r>
      <w:r w:rsidRPr="00B50BFF">
        <w:rPr>
          <w:rFonts w:ascii="Arial" w:hAnsi="Arial" w:cs="Arial"/>
        </w:rPr>
        <w:t xml:space="preserve"> </w:t>
      </w:r>
      <w:r w:rsidR="003C22CA">
        <w:rPr>
          <w:rFonts w:ascii="Arial" w:hAnsi="Arial" w:cs="Arial"/>
        </w:rPr>
        <w:t>En 201</w:t>
      </w:r>
      <w:r w:rsidR="00E97B41">
        <w:rPr>
          <w:rFonts w:ascii="Arial" w:hAnsi="Arial" w:cs="Arial"/>
        </w:rPr>
        <w:t>8</w:t>
      </w:r>
      <w:r w:rsidR="003C22CA">
        <w:rPr>
          <w:rFonts w:ascii="Arial" w:hAnsi="Arial" w:cs="Arial"/>
        </w:rPr>
        <w:t xml:space="preserve"> el importe asciende a </w:t>
      </w:r>
      <w:r w:rsidR="00E97B41">
        <w:rPr>
          <w:rFonts w:ascii="Arial" w:hAnsi="Arial" w:cs="Arial"/>
        </w:rPr>
        <w:t>71.182,48</w:t>
      </w:r>
      <w:r w:rsidR="003C22CA">
        <w:rPr>
          <w:rFonts w:ascii="Arial" w:hAnsi="Arial" w:cs="Arial"/>
        </w:rPr>
        <w:t xml:space="preserve"> euros.</w:t>
      </w:r>
    </w:p>
    <w:p w14:paraId="6B9E42A9" w14:textId="77777777" w:rsidR="009B0B40" w:rsidRDefault="009B0B40" w:rsidP="00852006">
      <w:pPr>
        <w:tabs>
          <w:tab w:val="center" w:pos="4320"/>
        </w:tabs>
        <w:spacing w:before="200" w:line="276" w:lineRule="auto"/>
        <w:jc w:val="both"/>
        <w:rPr>
          <w:rFonts w:ascii="Arial" w:hAnsi="Arial" w:cs="Arial"/>
        </w:rPr>
      </w:pPr>
      <w:r>
        <w:rPr>
          <w:rFonts w:ascii="Arial" w:hAnsi="Arial" w:cs="Arial"/>
        </w:rPr>
        <w:t>Para una mejor comparación de la información, mostramos un cuadro con los saldos de las “Inversiones Financieras a corto plazo” que presenta la Sociedad a 31 de diciembre de 201</w:t>
      </w:r>
      <w:r w:rsidR="00E97B41">
        <w:rPr>
          <w:rFonts w:ascii="Arial" w:hAnsi="Arial" w:cs="Arial"/>
        </w:rPr>
        <w:t>9</w:t>
      </w:r>
      <w:r>
        <w:rPr>
          <w:rFonts w:ascii="Arial" w:hAnsi="Arial" w:cs="Arial"/>
        </w:rPr>
        <w:t xml:space="preserve"> y los saldos </w:t>
      </w:r>
      <w:r w:rsidR="00544C51">
        <w:rPr>
          <w:rFonts w:ascii="Arial" w:hAnsi="Arial" w:cs="Arial"/>
        </w:rPr>
        <w:t xml:space="preserve"> a fecha 31 de diciembre de</w:t>
      </w:r>
      <w:r w:rsidR="00D947E4">
        <w:rPr>
          <w:rFonts w:ascii="Arial" w:hAnsi="Arial" w:cs="Arial"/>
        </w:rPr>
        <w:t xml:space="preserve"> 201</w:t>
      </w:r>
      <w:r w:rsidR="00E97B41">
        <w:rPr>
          <w:rFonts w:ascii="Arial" w:hAnsi="Arial" w:cs="Arial"/>
        </w:rPr>
        <w:t>8</w:t>
      </w:r>
      <w:r>
        <w:rPr>
          <w:rFonts w:ascii="Arial" w:hAnsi="Arial" w:cs="Arial"/>
        </w:rPr>
        <w:t>.</w:t>
      </w:r>
    </w:p>
    <w:p w14:paraId="317049DA" w14:textId="77777777" w:rsidR="00983D5E" w:rsidRDefault="00983D5E" w:rsidP="00983D5E">
      <w:pPr>
        <w:tabs>
          <w:tab w:val="center" w:pos="4320"/>
        </w:tabs>
        <w:spacing w:line="276" w:lineRule="auto"/>
        <w:jc w:val="both"/>
        <w:rPr>
          <w:rFonts w:ascii="Arial" w:hAnsi="Arial" w:cs="Arial"/>
        </w:rPr>
      </w:pPr>
    </w:p>
    <w:p w14:paraId="3BCDFECC" w14:textId="77777777" w:rsidR="009B0B40" w:rsidRDefault="006343DB" w:rsidP="00EB12F8">
      <w:pPr>
        <w:tabs>
          <w:tab w:val="center" w:pos="4320"/>
        </w:tabs>
        <w:spacing w:line="276" w:lineRule="auto"/>
        <w:jc w:val="center"/>
        <w:rPr>
          <w:rFonts w:ascii="Arial" w:hAnsi="Arial" w:cs="Arial"/>
        </w:rPr>
      </w:pPr>
      <w:r w:rsidRPr="006343DB">
        <w:rPr>
          <w:noProof/>
          <w:lang w:val="es-ES"/>
        </w:rPr>
        <w:drawing>
          <wp:inline distT="0" distB="0" distL="0" distR="0" wp14:anchorId="6CB612E0" wp14:editId="1FFEFA63">
            <wp:extent cx="3985304" cy="1461222"/>
            <wp:effectExtent l="0" t="0" r="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85312" cy="1461225"/>
                    </a:xfrm>
                    <a:prstGeom prst="rect">
                      <a:avLst/>
                    </a:prstGeom>
                    <a:noFill/>
                    <a:ln>
                      <a:noFill/>
                    </a:ln>
                  </pic:spPr>
                </pic:pic>
              </a:graphicData>
            </a:graphic>
          </wp:inline>
        </w:drawing>
      </w:r>
    </w:p>
    <w:p w14:paraId="68B4A057" w14:textId="77777777" w:rsidR="00983D5E" w:rsidRDefault="009B0B40" w:rsidP="008D5117">
      <w:pPr>
        <w:spacing w:before="200" w:line="276" w:lineRule="auto"/>
        <w:jc w:val="both"/>
        <w:rPr>
          <w:rFonts w:ascii="Arial" w:hAnsi="Arial" w:cs="Arial"/>
        </w:rPr>
      </w:pPr>
      <w:r w:rsidRPr="00561ABF">
        <w:rPr>
          <w:rFonts w:ascii="Arial" w:hAnsi="Arial" w:cs="Arial"/>
        </w:rPr>
        <w:t>La Sociedad</w:t>
      </w:r>
      <w:r>
        <w:rPr>
          <w:rFonts w:ascii="Arial" w:hAnsi="Arial" w:cs="Arial"/>
        </w:rPr>
        <w:t xml:space="preserve"> </w:t>
      </w:r>
      <w:r w:rsidRPr="00561ABF">
        <w:rPr>
          <w:rFonts w:ascii="Arial" w:hAnsi="Arial" w:cs="Arial"/>
        </w:rPr>
        <w:t xml:space="preserve"> </w:t>
      </w:r>
      <w:r>
        <w:rPr>
          <w:rFonts w:ascii="Arial" w:hAnsi="Arial" w:cs="Arial"/>
        </w:rPr>
        <w:t>INTIA</w:t>
      </w:r>
      <w:r w:rsidRPr="00561ABF">
        <w:rPr>
          <w:rFonts w:ascii="Arial" w:hAnsi="Arial" w:cs="Arial"/>
        </w:rPr>
        <w:t>, S.A. por el tipo de activos financieros que dispone está expuesta únicamente al riesgo de insolvencia. No hay exposición a otros tipos de riesgo tales como los de liquidez o mercado.   Cuando la Sociedad considera que existen dudas razonables de cobro, dota las correspondientes provisiones de las cuotas de los créditos sobre los cuales recae esta dicha duda razonable.</w:t>
      </w:r>
    </w:p>
    <w:p w14:paraId="74780756" w14:textId="77777777" w:rsidR="009B0B40" w:rsidRDefault="009B0B40" w:rsidP="00852006">
      <w:pPr>
        <w:spacing w:before="200" w:line="276" w:lineRule="auto"/>
        <w:jc w:val="both"/>
        <w:rPr>
          <w:rFonts w:ascii="Arial" w:hAnsi="Arial" w:cs="Arial"/>
        </w:rPr>
      </w:pPr>
      <w:r w:rsidRPr="00471DF8">
        <w:rPr>
          <w:rFonts w:ascii="Arial" w:hAnsi="Arial" w:cs="Arial"/>
        </w:rPr>
        <w:t>El movimiento de las correcciones valorativas por deterioro</w:t>
      </w:r>
      <w:r>
        <w:rPr>
          <w:rFonts w:ascii="Arial" w:hAnsi="Arial" w:cs="Arial"/>
        </w:rPr>
        <w:t xml:space="preserve"> de créditos comerciales </w:t>
      </w:r>
      <w:r w:rsidRPr="00471DF8">
        <w:rPr>
          <w:rFonts w:ascii="Arial" w:hAnsi="Arial" w:cs="Arial"/>
        </w:rPr>
        <w:t xml:space="preserve"> tanto a corto como a largo plazo es el siguiente</w:t>
      </w:r>
      <w:r>
        <w:rPr>
          <w:rFonts w:ascii="Arial" w:hAnsi="Arial" w:cs="Arial"/>
        </w:rPr>
        <w:t xml:space="preserve">: </w:t>
      </w:r>
    </w:p>
    <w:p w14:paraId="3BBE775D" w14:textId="77777777" w:rsidR="00AD67D7" w:rsidRDefault="00AD67D7" w:rsidP="00983D5E">
      <w:pPr>
        <w:spacing w:line="276" w:lineRule="auto"/>
        <w:jc w:val="both"/>
        <w:rPr>
          <w:rFonts w:ascii="Arial" w:hAnsi="Arial" w:cs="Arial"/>
        </w:rPr>
      </w:pPr>
    </w:p>
    <w:p w14:paraId="14F5EDD9" w14:textId="77777777" w:rsidR="00D75DC0" w:rsidRDefault="00F64814" w:rsidP="00EB12F8">
      <w:pPr>
        <w:spacing w:line="276" w:lineRule="auto"/>
        <w:jc w:val="center"/>
        <w:rPr>
          <w:rFonts w:ascii="Arial" w:hAnsi="Arial" w:cs="Arial"/>
        </w:rPr>
      </w:pPr>
      <w:r w:rsidRPr="00F64814">
        <w:rPr>
          <w:noProof/>
          <w:lang w:val="es-ES"/>
        </w:rPr>
        <w:drawing>
          <wp:inline distT="0" distB="0" distL="0" distR="0" wp14:anchorId="13D867BB" wp14:editId="70103A83">
            <wp:extent cx="4128014" cy="1332471"/>
            <wp:effectExtent l="0" t="0" r="635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31053" cy="1333452"/>
                    </a:xfrm>
                    <a:prstGeom prst="rect">
                      <a:avLst/>
                    </a:prstGeom>
                    <a:noFill/>
                    <a:ln>
                      <a:noFill/>
                    </a:ln>
                  </pic:spPr>
                </pic:pic>
              </a:graphicData>
            </a:graphic>
          </wp:inline>
        </w:drawing>
      </w:r>
    </w:p>
    <w:p w14:paraId="39B2671D" w14:textId="77777777" w:rsidR="009B0B40" w:rsidRPr="00C314FE" w:rsidRDefault="009B0B40" w:rsidP="00852006">
      <w:pPr>
        <w:spacing w:before="200" w:line="276" w:lineRule="auto"/>
        <w:jc w:val="both"/>
        <w:rPr>
          <w:rFonts w:ascii="Arial" w:hAnsi="Arial" w:cs="Arial"/>
        </w:rPr>
      </w:pPr>
      <w:r>
        <w:rPr>
          <w:rFonts w:ascii="Arial" w:hAnsi="Arial" w:cs="Arial"/>
        </w:rPr>
        <w:t>El importe total de las provisiones  dotadas a corto y largo plazo corresponde íntegramente al crédito titulado</w:t>
      </w:r>
      <w:r w:rsidR="00F401CC">
        <w:rPr>
          <w:rFonts w:ascii="Arial" w:hAnsi="Arial" w:cs="Arial"/>
        </w:rPr>
        <w:t xml:space="preserve"> “Contadores Embalse”.</w:t>
      </w:r>
      <w:r>
        <w:rPr>
          <w:rFonts w:ascii="Arial" w:hAnsi="Arial" w:cs="Arial"/>
        </w:rPr>
        <w:t xml:space="preserve"> </w:t>
      </w:r>
    </w:p>
    <w:p w14:paraId="0C2A8FBE" w14:textId="77777777" w:rsidR="009B0B40" w:rsidRDefault="009B0B40" w:rsidP="00852006">
      <w:pPr>
        <w:spacing w:before="200" w:line="276" w:lineRule="auto"/>
        <w:jc w:val="both"/>
        <w:rPr>
          <w:rFonts w:ascii="Arial" w:hAnsi="Arial" w:cs="Arial"/>
        </w:rPr>
      </w:pPr>
      <w:r>
        <w:rPr>
          <w:rFonts w:ascii="Arial" w:hAnsi="Arial" w:cs="Arial"/>
        </w:rPr>
        <w:t xml:space="preserve">El saldo de la partida “Clientes por ventas o prestación de servicios” del Activo Corriente recoge la corrección valorativa de dichos saldos. El deterioro al cierre del ejercicio </w:t>
      </w:r>
      <w:r w:rsidR="00D55CFA">
        <w:rPr>
          <w:rFonts w:ascii="Arial" w:hAnsi="Arial" w:cs="Arial"/>
        </w:rPr>
        <w:t>201</w:t>
      </w:r>
      <w:r w:rsidR="008D5117">
        <w:rPr>
          <w:rFonts w:ascii="Arial" w:hAnsi="Arial" w:cs="Arial"/>
        </w:rPr>
        <w:t>8</w:t>
      </w:r>
      <w:r>
        <w:rPr>
          <w:rFonts w:ascii="Arial" w:hAnsi="Arial" w:cs="Arial"/>
        </w:rPr>
        <w:t xml:space="preserve"> asciende a </w:t>
      </w:r>
      <w:r w:rsidR="008D5117">
        <w:rPr>
          <w:rFonts w:ascii="Arial" w:hAnsi="Arial" w:cs="Arial"/>
        </w:rPr>
        <w:t>35.538,66</w:t>
      </w:r>
      <w:r>
        <w:rPr>
          <w:rFonts w:ascii="Arial" w:hAnsi="Arial" w:cs="Arial"/>
        </w:rPr>
        <w:t xml:space="preserve"> </w:t>
      </w:r>
      <w:r w:rsidR="00E97B41">
        <w:rPr>
          <w:rFonts w:ascii="Arial" w:hAnsi="Arial" w:cs="Arial"/>
        </w:rPr>
        <w:t>9</w:t>
      </w:r>
      <w:r>
        <w:rPr>
          <w:rFonts w:ascii="Arial" w:hAnsi="Arial" w:cs="Arial"/>
        </w:rPr>
        <w:t>euros</w:t>
      </w:r>
      <w:r w:rsidR="00273431">
        <w:rPr>
          <w:rFonts w:ascii="Arial" w:hAnsi="Arial" w:cs="Arial"/>
        </w:rPr>
        <w:t>.</w:t>
      </w:r>
      <w:r>
        <w:rPr>
          <w:rFonts w:ascii="Arial" w:hAnsi="Arial" w:cs="Arial"/>
        </w:rPr>
        <w:t xml:space="preserve"> La cifra en </w:t>
      </w:r>
      <w:r w:rsidR="00D55CFA">
        <w:rPr>
          <w:rFonts w:ascii="Arial" w:hAnsi="Arial" w:cs="Arial"/>
        </w:rPr>
        <w:t>201</w:t>
      </w:r>
      <w:r w:rsidR="00E97B41">
        <w:rPr>
          <w:rFonts w:ascii="Arial" w:hAnsi="Arial" w:cs="Arial"/>
        </w:rPr>
        <w:t>8</w:t>
      </w:r>
      <w:r>
        <w:rPr>
          <w:rFonts w:ascii="Arial" w:hAnsi="Arial" w:cs="Arial"/>
        </w:rPr>
        <w:t xml:space="preserve"> ascendía a </w:t>
      </w:r>
      <w:r w:rsidR="00E97B41">
        <w:rPr>
          <w:rFonts w:ascii="Arial" w:hAnsi="Arial" w:cs="Arial"/>
        </w:rPr>
        <w:t>35.538,66</w:t>
      </w:r>
      <w:r w:rsidR="00EB12F8">
        <w:rPr>
          <w:rFonts w:ascii="Arial" w:hAnsi="Arial" w:cs="Arial"/>
        </w:rPr>
        <w:t xml:space="preserve"> </w:t>
      </w:r>
      <w:r>
        <w:rPr>
          <w:rFonts w:ascii="Arial" w:hAnsi="Arial" w:cs="Arial"/>
        </w:rPr>
        <w:t xml:space="preserve">euros. El movimiento de las correcciones por deterioro de valores es el que sigue: </w:t>
      </w:r>
    </w:p>
    <w:p w14:paraId="57D91515" w14:textId="77777777" w:rsidR="00D55CFA" w:rsidRDefault="00D55CFA" w:rsidP="00EB12F8">
      <w:pPr>
        <w:spacing w:line="276" w:lineRule="auto"/>
        <w:jc w:val="center"/>
        <w:rPr>
          <w:noProof/>
          <w:lang w:val="es-ES"/>
        </w:rPr>
      </w:pPr>
    </w:p>
    <w:p w14:paraId="3E0AB526" w14:textId="77777777" w:rsidR="00AD67D7" w:rsidRDefault="00F64814" w:rsidP="00EB12F8">
      <w:pPr>
        <w:spacing w:line="276" w:lineRule="auto"/>
        <w:jc w:val="center"/>
        <w:rPr>
          <w:rFonts w:ascii="Arial" w:hAnsi="Arial" w:cs="Arial"/>
        </w:rPr>
      </w:pPr>
      <w:r w:rsidRPr="00F64814">
        <w:rPr>
          <w:noProof/>
          <w:lang w:val="es-ES"/>
        </w:rPr>
        <w:drawing>
          <wp:inline distT="0" distB="0" distL="0" distR="0" wp14:anchorId="39A19BAA" wp14:editId="07DDAE24">
            <wp:extent cx="2648060" cy="116334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3117" cy="1165567"/>
                    </a:xfrm>
                    <a:prstGeom prst="rect">
                      <a:avLst/>
                    </a:prstGeom>
                    <a:noFill/>
                    <a:ln>
                      <a:noFill/>
                    </a:ln>
                  </pic:spPr>
                </pic:pic>
              </a:graphicData>
            </a:graphic>
          </wp:inline>
        </w:drawing>
      </w:r>
    </w:p>
    <w:p w14:paraId="3BD44992" w14:textId="77777777" w:rsidR="00AD67D7" w:rsidRDefault="00AD67D7" w:rsidP="00852006">
      <w:pPr>
        <w:pStyle w:val="Prrafodelista"/>
        <w:spacing w:before="200" w:line="276" w:lineRule="auto"/>
        <w:ind w:left="0"/>
        <w:jc w:val="both"/>
        <w:rPr>
          <w:rFonts w:ascii="Arial" w:hAnsi="Arial" w:cs="Arial"/>
        </w:rPr>
      </w:pPr>
    </w:p>
    <w:p w14:paraId="5A174CEA" w14:textId="77777777" w:rsidR="00983D5E" w:rsidRDefault="00647BAE" w:rsidP="00E97B41">
      <w:pPr>
        <w:pStyle w:val="Prrafodelista"/>
        <w:spacing w:before="200" w:line="276" w:lineRule="auto"/>
        <w:ind w:left="0"/>
        <w:jc w:val="both"/>
        <w:rPr>
          <w:rFonts w:ascii="Arial" w:hAnsi="Arial" w:cs="Arial"/>
        </w:rPr>
      </w:pPr>
      <w:r w:rsidRPr="00647BAE">
        <w:rPr>
          <w:rFonts w:ascii="Arial" w:hAnsi="Arial" w:cs="Arial"/>
        </w:rPr>
        <w:t xml:space="preserve">Por otro lado, la Sociedad </w:t>
      </w:r>
      <w:r w:rsidR="008D5117">
        <w:rPr>
          <w:rFonts w:ascii="Arial" w:hAnsi="Arial" w:cs="Arial"/>
        </w:rPr>
        <w:t xml:space="preserve">no </w:t>
      </w:r>
      <w:r w:rsidRPr="00647BAE">
        <w:rPr>
          <w:rFonts w:ascii="Arial" w:hAnsi="Arial" w:cs="Arial"/>
        </w:rPr>
        <w:t>ha registrado pérdida definitiva de clientes no deteriorados</w:t>
      </w:r>
      <w:r w:rsidR="00E97B41">
        <w:rPr>
          <w:rFonts w:ascii="Arial" w:hAnsi="Arial" w:cs="Arial"/>
        </w:rPr>
        <w:t>, al igual que en el ejercicio 2018.</w:t>
      </w:r>
    </w:p>
    <w:p w14:paraId="4AEE95E8" w14:textId="77777777" w:rsidR="00E97B41" w:rsidRDefault="00E97B41" w:rsidP="00E97B41">
      <w:pPr>
        <w:pStyle w:val="Prrafodelista"/>
        <w:spacing w:before="200" w:line="276" w:lineRule="auto"/>
        <w:ind w:left="0"/>
        <w:jc w:val="both"/>
        <w:rPr>
          <w:rFonts w:ascii="Arial" w:hAnsi="Arial" w:cs="Arial"/>
          <w:b/>
          <w:color w:val="005BA6"/>
          <w:sz w:val="24"/>
          <w:szCs w:val="24"/>
        </w:rPr>
      </w:pPr>
    </w:p>
    <w:p w14:paraId="3DF9CA83" w14:textId="77777777" w:rsidR="009B0B40" w:rsidRPr="00C416E7" w:rsidRDefault="009B0B40" w:rsidP="00852006">
      <w:pPr>
        <w:pStyle w:val="Prrafodelista"/>
        <w:spacing w:before="200" w:line="276" w:lineRule="auto"/>
        <w:ind w:left="0"/>
        <w:jc w:val="both"/>
        <w:rPr>
          <w:rFonts w:ascii="Arial" w:hAnsi="Arial" w:cs="Arial"/>
          <w:b/>
          <w:color w:val="005BA6"/>
          <w:sz w:val="24"/>
          <w:szCs w:val="24"/>
        </w:rPr>
      </w:pPr>
      <w:r w:rsidRPr="00C416E7">
        <w:rPr>
          <w:rFonts w:ascii="Arial" w:hAnsi="Arial" w:cs="Arial"/>
          <w:b/>
          <w:color w:val="005BA6"/>
          <w:sz w:val="24"/>
          <w:szCs w:val="24"/>
        </w:rPr>
        <w:t>9.1.2.- Pasivos Financieros</w:t>
      </w:r>
    </w:p>
    <w:p w14:paraId="32DAC647" w14:textId="77777777" w:rsidR="000E2CEB" w:rsidRDefault="009B0B40" w:rsidP="00852006">
      <w:pPr>
        <w:spacing w:before="200" w:line="276" w:lineRule="auto"/>
        <w:jc w:val="both"/>
        <w:rPr>
          <w:rFonts w:ascii="Arial" w:hAnsi="Arial" w:cs="Arial"/>
        </w:rPr>
      </w:pPr>
      <w:r w:rsidRPr="004012E1">
        <w:rPr>
          <w:rFonts w:ascii="Arial" w:hAnsi="Arial" w:cs="Arial"/>
        </w:rPr>
        <w:t xml:space="preserve">El valor en libros de los </w:t>
      </w:r>
      <w:r>
        <w:rPr>
          <w:rFonts w:ascii="Arial" w:hAnsi="Arial" w:cs="Arial"/>
        </w:rPr>
        <w:t>pasivos</w:t>
      </w:r>
      <w:r w:rsidRPr="004012E1">
        <w:rPr>
          <w:rFonts w:ascii="Arial" w:hAnsi="Arial" w:cs="Arial"/>
        </w:rPr>
        <w:t xml:space="preserve"> financieros</w:t>
      </w:r>
      <w:r>
        <w:rPr>
          <w:rFonts w:ascii="Arial" w:hAnsi="Arial" w:cs="Arial"/>
        </w:rPr>
        <w:t xml:space="preserve"> de la Sociedad</w:t>
      </w:r>
      <w:r w:rsidRPr="004012E1">
        <w:rPr>
          <w:rFonts w:ascii="Arial" w:hAnsi="Arial" w:cs="Arial"/>
        </w:rPr>
        <w:t xml:space="preserve"> </w:t>
      </w:r>
      <w:r>
        <w:rPr>
          <w:rFonts w:ascii="Arial" w:hAnsi="Arial" w:cs="Arial"/>
        </w:rPr>
        <w:t xml:space="preserve">se recoge en la siguiente tabla diferenciándose el largo y corto plazo. </w:t>
      </w:r>
    </w:p>
    <w:p w14:paraId="0DF55E99" w14:textId="77777777" w:rsidR="00EB22CD" w:rsidRDefault="00EB22CD" w:rsidP="00852006">
      <w:pPr>
        <w:spacing w:before="200" w:line="276" w:lineRule="auto"/>
        <w:jc w:val="both"/>
        <w:rPr>
          <w:rFonts w:ascii="Arial" w:hAnsi="Arial" w:cs="Arial"/>
        </w:rPr>
      </w:pPr>
    </w:p>
    <w:p w14:paraId="193ACE07" w14:textId="77777777" w:rsidR="009B0B40" w:rsidRDefault="00F64814" w:rsidP="00EB22CD">
      <w:pPr>
        <w:spacing w:line="276" w:lineRule="auto"/>
        <w:jc w:val="center"/>
        <w:rPr>
          <w:rFonts w:ascii="Arial Narrow" w:hAnsi="Arial Narrow"/>
          <w:sz w:val="22"/>
          <w:szCs w:val="22"/>
        </w:rPr>
      </w:pPr>
      <w:r w:rsidRPr="00F64814">
        <w:rPr>
          <w:noProof/>
          <w:lang w:val="es-ES"/>
        </w:rPr>
        <w:drawing>
          <wp:inline distT="0" distB="0" distL="0" distR="0" wp14:anchorId="5E6E4556" wp14:editId="4766DF2A">
            <wp:extent cx="4714914" cy="2722058"/>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21853" cy="2726064"/>
                    </a:xfrm>
                    <a:prstGeom prst="rect">
                      <a:avLst/>
                    </a:prstGeom>
                    <a:noFill/>
                    <a:ln>
                      <a:noFill/>
                    </a:ln>
                  </pic:spPr>
                </pic:pic>
              </a:graphicData>
            </a:graphic>
          </wp:inline>
        </w:drawing>
      </w:r>
    </w:p>
    <w:p w14:paraId="7FFEB017" w14:textId="77777777" w:rsidR="00E97B41" w:rsidRPr="00F64814" w:rsidRDefault="009B0B40" w:rsidP="00AB7C5B">
      <w:pPr>
        <w:spacing w:before="200" w:line="276" w:lineRule="auto"/>
        <w:jc w:val="both"/>
        <w:rPr>
          <w:rFonts w:ascii="Arial" w:hAnsi="Arial" w:cs="Arial"/>
        </w:rPr>
      </w:pPr>
      <w:r w:rsidRPr="00017FA1">
        <w:rPr>
          <w:rFonts w:ascii="Arial" w:hAnsi="Arial" w:cs="Arial"/>
        </w:rPr>
        <w:t>Como se aprecia en el cuadro, la Sociedad clasifica todos sus pasivos financieros tanto a corto como a largo plazo en la categoría de “Débitos y partidas a pagar”.</w:t>
      </w:r>
    </w:p>
    <w:p w14:paraId="68B6627B" w14:textId="77777777" w:rsidR="00EE0085" w:rsidRPr="00AB7C5B" w:rsidRDefault="009B0B40" w:rsidP="00A55CDA">
      <w:pPr>
        <w:spacing w:before="200" w:line="276" w:lineRule="auto"/>
        <w:jc w:val="both"/>
        <w:rPr>
          <w:rFonts w:ascii="Arial" w:hAnsi="Arial" w:cs="Arial"/>
          <w:color w:val="005BA6"/>
        </w:rPr>
      </w:pPr>
      <w:r w:rsidRPr="00AB7C5B">
        <w:rPr>
          <w:rFonts w:ascii="Arial" w:hAnsi="Arial" w:cs="Arial"/>
          <w:color w:val="005BA6"/>
        </w:rPr>
        <w:t>Instrumentos financieros a largo plazo</w:t>
      </w:r>
    </w:p>
    <w:p w14:paraId="37ECF9E7" w14:textId="77777777" w:rsidR="009B0B40" w:rsidRDefault="009B0B40" w:rsidP="00852006">
      <w:pPr>
        <w:spacing w:before="200" w:line="276" w:lineRule="auto"/>
        <w:jc w:val="both"/>
        <w:rPr>
          <w:rFonts w:ascii="Arial" w:hAnsi="Arial" w:cs="Arial"/>
        </w:rPr>
      </w:pPr>
      <w:r w:rsidRPr="00787C69">
        <w:rPr>
          <w:rFonts w:ascii="Arial" w:hAnsi="Arial" w:cs="Arial"/>
        </w:rPr>
        <w:t xml:space="preserve">El valor en libros de los Instrumentos Financieros a largo plazo asciende a </w:t>
      </w:r>
      <w:r w:rsidR="008666FE">
        <w:rPr>
          <w:rFonts w:ascii="Arial" w:hAnsi="Arial" w:cs="Arial"/>
        </w:rPr>
        <w:t>14.128,85</w:t>
      </w:r>
      <w:r>
        <w:rPr>
          <w:rFonts w:ascii="Arial" w:hAnsi="Arial" w:cs="Arial"/>
        </w:rPr>
        <w:t xml:space="preserve"> euros</w:t>
      </w:r>
      <w:r w:rsidRPr="00787C69">
        <w:rPr>
          <w:rFonts w:ascii="Arial" w:hAnsi="Arial" w:cs="Arial"/>
        </w:rPr>
        <w:t>. Al cierre del pasado ejercicio</w:t>
      </w:r>
      <w:r>
        <w:rPr>
          <w:rFonts w:ascii="Arial" w:hAnsi="Arial" w:cs="Arial"/>
        </w:rPr>
        <w:t xml:space="preserve">, </w:t>
      </w:r>
      <w:r w:rsidRPr="00787C69">
        <w:rPr>
          <w:rFonts w:ascii="Arial" w:hAnsi="Arial" w:cs="Arial"/>
        </w:rPr>
        <w:t xml:space="preserve">la cifra ascendía a </w:t>
      </w:r>
      <w:r w:rsidR="008666FE">
        <w:rPr>
          <w:rFonts w:ascii="Arial" w:hAnsi="Arial" w:cs="Arial"/>
        </w:rPr>
        <w:t>40.371,01</w:t>
      </w:r>
      <w:r>
        <w:rPr>
          <w:rFonts w:ascii="Arial" w:hAnsi="Arial" w:cs="Arial"/>
        </w:rPr>
        <w:t xml:space="preserve"> euros</w:t>
      </w:r>
      <w:r w:rsidRPr="00787C69">
        <w:rPr>
          <w:rFonts w:ascii="Arial" w:hAnsi="Arial" w:cs="Arial"/>
        </w:rPr>
        <w:t>.</w:t>
      </w:r>
      <w:r>
        <w:rPr>
          <w:rFonts w:ascii="Arial" w:hAnsi="Arial" w:cs="Arial"/>
        </w:rPr>
        <w:t xml:space="preserve">  </w:t>
      </w:r>
    </w:p>
    <w:p w14:paraId="193BD801" w14:textId="77777777" w:rsidR="00A55CDA" w:rsidRDefault="00F64814" w:rsidP="002C0DD5">
      <w:pPr>
        <w:spacing w:before="200" w:line="276" w:lineRule="auto"/>
        <w:jc w:val="center"/>
        <w:rPr>
          <w:rFonts w:ascii="Arial" w:hAnsi="Arial" w:cs="Arial"/>
        </w:rPr>
      </w:pPr>
      <w:r w:rsidRPr="00F64814">
        <w:rPr>
          <w:noProof/>
          <w:lang w:val="es-ES"/>
        </w:rPr>
        <w:drawing>
          <wp:inline distT="0" distB="0" distL="0" distR="0" wp14:anchorId="508C2FD0" wp14:editId="2D132B6F">
            <wp:extent cx="3092047" cy="1501717"/>
            <wp:effectExtent l="0" t="0" r="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98360" cy="1504783"/>
                    </a:xfrm>
                    <a:prstGeom prst="rect">
                      <a:avLst/>
                    </a:prstGeom>
                    <a:noFill/>
                    <a:ln>
                      <a:noFill/>
                    </a:ln>
                  </pic:spPr>
                </pic:pic>
              </a:graphicData>
            </a:graphic>
          </wp:inline>
        </w:drawing>
      </w:r>
    </w:p>
    <w:p w14:paraId="27DA63F9" w14:textId="77777777" w:rsidR="009B0B40" w:rsidRDefault="009B0B40" w:rsidP="00852006">
      <w:pPr>
        <w:spacing w:before="200" w:line="276" w:lineRule="auto"/>
        <w:jc w:val="both"/>
        <w:rPr>
          <w:rFonts w:ascii="Arial" w:hAnsi="Arial" w:cs="Arial"/>
        </w:rPr>
      </w:pPr>
      <w:r>
        <w:rPr>
          <w:rFonts w:ascii="Arial" w:hAnsi="Arial" w:cs="Arial"/>
        </w:rPr>
        <w:t>Bajo el epígrafe de “Derivados Otros”, la Sociedad registra</w:t>
      </w:r>
      <w:r w:rsidR="00F6010D">
        <w:rPr>
          <w:rFonts w:ascii="Arial" w:hAnsi="Arial" w:cs="Arial"/>
        </w:rPr>
        <w:t xml:space="preserve">, en el ejercicio 2019 y 2018, </w:t>
      </w:r>
      <w:r w:rsidR="008666FE">
        <w:rPr>
          <w:rFonts w:ascii="Arial" w:hAnsi="Arial" w:cs="Arial"/>
        </w:rPr>
        <w:t>el importe de las fianzas recibidas a largo plazo. En 2018 este epígrafe registraba de igual modo,</w:t>
      </w:r>
      <w:r>
        <w:rPr>
          <w:rFonts w:ascii="Arial" w:hAnsi="Arial" w:cs="Arial"/>
        </w:rPr>
        <w:t xml:space="preserve"> la d</w:t>
      </w:r>
      <w:r w:rsidR="008666FE">
        <w:rPr>
          <w:rFonts w:ascii="Arial" w:hAnsi="Arial" w:cs="Arial"/>
        </w:rPr>
        <w:t>euda que a largo plazo mantenía con Gobierno de Navarra</w:t>
      </w:r>
      <w:r w:rsidR="00F6010D">
        <w:rPr>
          <w:rFonts w:ascii="Arial" w:hAnsi="Arial" w:cs="Arial"/>
        </w:rPr>
        <w:t xml:space="preserve">, por importe de 26.242,26 euros, </w:t>
      </w:r>
      <w:r w:rsidR="008666FE">
        <w:rPr>
          <w:rFonts w:ascii="Arial" w:hAnsi="Arial" w:cs="Arial"/>
        </w:rPr>
        <w:t xml:space="preserve">en concepto de  diversos préstamos </w:t>
      </w:r>
      <w:r>
        <w:rPr>
          <w:rFonts w:ascii="Arial" w:hAnsi="Arial" w:cs="Arial"/>
        </w:rPr>
        <w:t xml:space="preserve"> </w:t>
      </w:r>
      <w:r w:rsidR="008666FE">
        <w:rPr>
          <w:rFonts w:ascii="Arial" w:hAnsi="Arial" w:cs="Arial"/>
        </w:rPr>
        <w:t>(concedidos a su vez</w:t>
      </w:r>
      <w:r>
        <w:rPr>
          <w:rFonts w:ascii="Arial" w:hAnsi="Arial" w:cs="Arial"/>
        </w:rPr>
        <w:t xml:space="preserve"> a los </w:t>
      </w:r>
      <w:r w:rsidRPr="002F2F3D">
        <w:rPr>
          <w:rFonts w:ascii="Arial" w:hAnsi="Arial" w:cs="Arial"/>
        </w:rPr>
        <w:t xml:space="preserve">  ben</w:t>
      </w:r>
      <w:r w:rsidR="008666FE">
        <w:rPr>
          <w:rFonts w:ascii="Arial" w:hAnsi="Arial" w:cs="Arial"/>
        </w:rPr>
        <w:t xml:space="preserve">eficiarios de </w:t>
      </w:r>
      <w:r w:rsidRPr="002F2F3D">
        <w:rPr>
          <w:rFonts w:ascii="Arial" w:hAnsi="Arial" w:cs="Arial"/>
        </w:rPr>
        <w:t xml:space="preserve"> obras de transformación en regadío que la Sociedad promueve en su actividad como delegada de la C</w:t>
      </w:r>
      <w:r>
        <w:rPr>
          <w:rFonts w:ascii="Arial" w:hAnsi="Arial" w:cs="Arial"/>
        </w:rPr>
        <w:t>omunidad Foral en esta materia</w:t>
      </w:r>
      <w:r w:rsidR="008666FE">
        <w:rPr>
          <w:rFonts w:ascii="Arial" w:hAnsi="Arial" w:cs="Arial"/>
        </w:rPr>
        <w:t>)</w:t>
      </w:r>
    </w:p>
    <w:p w14:paraId="003A177C" w14:textId="77777777" w:rsidR="00367F0D" w:rsidRDefault="00367F0D" w:rsidP="00EB12F8">
      <w:pPr>
        <w:spacing w:line="276" w:lineRule="auto"/>
        <w:jc w:val="both"/>
        <w:rPr>
          <w:rFonts w:ascii="Arial" w:hAnsi="Arial" w:cs="Arial"/>
        </w:rPr>
      </w:pPr>
    </w:p>
    <w:p w14:paraId="4FA3A339" w14:textId="77777777" w:rsidR="00691393" w:rsidRDefault="00691393" w:rsidP="00691393">
      <w:pPr>
        <w:spacing w:line="276" w:lineRule="auto"/>
        <w:jc w:val="both"/>
        <w:rPr>
          <w:rFonts w:ascii="Arial" w:hAnsi="Arial" w:cs="Arial"/>
        </w:rPr>
      </w:pPr>
      <w:r w:rsidRPr="002F2F3D">
        <w:rPr>
          <w:rFonts w:ascii="Arial" w:hAnsi="Arial" w:cs="Arial"/>
        </w:rPr>
        <w:t>La deuda que por el motivo citado anteriormente mantiene la Sociedad con el Gobierno de Navarra a corto plazo se recoge dentro de la partida “Deudas con empresas del grupo y asociadas a corto plazo” del Pasivo Co</w:t>
      </w:r>
      <w:r>
        <w:rPr>
          <w:rFonts w:ascii="Arial" w:hAnsi="Arial" w:cs="Arial"/>
        </w:rPr>
        <w:t>rriente. La deuda a corto plazo</w:t>
      </w:r>
      <w:r w:rsidRPr="002F2F3D">
        <w:rPr>
          <w:rFonts w:ascii="Arial" w:hAnsi="Arial" w:cs="Arial"/>
        </w:rPr>
        <w:t xml:space="preserve"> asciende a</w:t>
      </w:r>
      <w:r>
        <w:rPr>
          <w:rFonts w:ascii="Arial" w:hAnsi="Arial" w:cs="Arial"/>
        </w:rPr>
        <w:t xml:space="preserve"> 1.031.045,62 euros. En 2018 el importe de la deuda ascendía a 1.050.878,81 euros.</w:t>
      </w:r>
    </w:p>
    <w:p w14:paraId="53B99DDF" w14:textId="77777777" w:rsidR="00691393" w:rsidRDefault="005E26DB" w:rsidP="00852006">
      <w:pPr>
        <w:spacing w:before="200" w:line="276" w:lineRule="auto"/>
        <w:jc w:val="both"/>
        <w:rPr>
          <w:rFonts w:ascii="Arial" w:hAnsi="Arial" w:cs="Arial"/>
        </w:rPr>
      </w:pPr>
      <w:r>
        <w:rPr>
          <w:rFonts w:ascii="Arial" w:hAnsi="Arial" w:cs="Arial"/>
        </w:rPr>
        <w:t>En 2020 vencen la totalidad de los préstamos referidos</w:t>
      </w:r>
      <w:r w:rsidR="009B0B40">
        <w:rPr>
          <w:rFonts w:ascii="Arial" w:hAnsi="Arial" w:cs="Arial"/>
        </w:rPr>
        <w:t>.</w:t>
      </w:r>
    </w:p>
    <w:p w14:paraId="12EA45E9" w14:textId="77777777" w:rsidR="009B0B40" w:rsidRDefault="009B0B40" w:rsidP="00AB7C5B">
      <w:pPr>
        <w:spacing w:before="200" w:line="276" w:lineRule="auto"/>
        <w:jc w:val="both"/>
        <w:rPr>
          <w:rFonts w:ascii="Arial" w:hAnsi="Arial" w:cs="Arial"/>
          <w:color w:val="005BA6"/>
        </w:rPr>
      </w:pPr>
      <w:r w:rsidRPr="00AB7C5B">
        <w:rPr>
          <w:rFonts w:ascii="Arial" w:hAnsi="Arial" w:cs="Arial"/>
          <w:color w:val="005BA6"/>
        </w:rPr>
        <w:t>Instrumentos financieros a corto plazo</w:t>
      </w:r>
    </w:p>
    <w:p w14:paraId="4088C393" w14:textId="77777777" w:rsidR="00691393" w:rsidRDefault="00691393" w:rsidP="00691393">
      <w:pPr>
        <w:spacing w:before="200" w:line="276" w:lineRule="auto"/>
        <w:jc w:val="both"/>
        <w:rPr>
          <w:rFonts w:ascii="Arial" w:hAnsi="Arial" w:cs="Arial"/>
        </w:rPr>
      </w:pPr>
      <w:r>
        <w:rPr>
          <w:rFonts w:ascii="Arial" w:hAnsi="Arial" w:cs="Arial"/>
        </w:rPr>
        <w:t>Para una mejor información contable, se muestra una tabla que recoge los saldos de los instrumentos financieros a corto plazo de la Sociedad al cierre de los ejercicios 2019 y 2018.</w:t>
      </w:r>
    </w:p>
    <w:p w14:paraId="59C3C6A0" w14:textId="77777777" w:rsidR="000A36EF" w:rsidRDefault="00F64814">
      <w:pPr>
        <w:spacing w:before="200" w:line="276" w:lineRule="auto"/>
        <w:jc w:val="center"/>
        <w:rPr>
          <w:rFonts w:ascii="Arial" w:hAnsi="Arial" w:cs="Arial"/>
          <w:color w:val="005BA6"/>
        </w:rPr>
      </w:pPr>
      <w:r w:rsidRPr="00F64814">
        <w:rPr>
          <w:noProof/>
          <w:lang w:val="es-ES"/>
        </w:rPr>
        <w:drawing>
          <wp:inline distT="0" distB="0" distL="0" distR="0" wp14:anchorId="5376183D" wp14:editId="748CD0F8">
            <wp:extent cx="3023334" cy="1613012"/>
            <wp:effectExtent l="0" t="0" r="5715"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23352" cy="1613022"/>
                    </a:xfrm>
                    <a:prstGeom prst="rect">
                      <a:avLst/>
                    </a:prstGeom>
                    <a:noFill/>
                    <a:ln>
                      <a:noFill/>
                    </a:ln>
                  </pic:spPr>
                </pic:pic>
              </a:graphicData>
            </a:graphic>
          </wp:inline>
        </w:drawing>
      </w:r>
    </w:p>
    <w:p w14:paraId="46A7DB5D" w14:textId="77777777" w:rsidR="00736FD5" w:rsidRDefault="00736FD5" w:rsidP="00736FD5">
      <w:pPr>
        <w:spacing w:line="276" w:lineRule="auto"/>
        <w:jc w:val="both"/>
        <w:rPr>
          <w:rFonts w:ascii="Arial" w:hAnsi="Arial" w:cs="Arial"/>
        </w:rPr>
      </w:pPr>
    </w:p>
    <w:p w14:paraId="30976690" w14:textId="77777777" w:rsidR="009B0B40" w:rsidRDefault="009B0B40" w:rsidP="00852006">
      <w:pPr>
        <w:spacing w:before="200" w:line="276" w:lineRule="auto"/>
        <w:jc w:val="both"/>
        <w:rPr>
          <w:rFonts w:ascii="Arial" w:hAnsi="Arial" w:cs="Arial"/>
        </w:rPr>
      </w:pPr>
      <w:r>
        <w:rPr>
          <w:rFonts w:ascii="Arial" w:hAnsi="Arial" w:cs="Arial"/>
        </w:rPr>
        <w:t xml:space="preserve">Bajo el epígrafe de “Derivados Otros”, la Sociedad registra el importe  de la deuda  que mantiene con Gobierno de Navarra en el corto plazo, </w:t>
      </w:r>
      <w:r w:rsidR="00812E84">
        <w:rPr>
          <w:rFonts w:ascii="Arial" w:hAnsi="Arial" w:cs="Arial"/>
        </w:rPr>
        <w:t>el importe de la deuda</w:t>
      </w:r>
      <w:r w:rsidR="00884120">
        <w:rPr>
          <w:rFonts w:ascii="Arial" w:hAnsi="Arial" w:cs="Arial"/>
        </w:rPr>
        <w:t xml:space="preserve"> existente al cierre del ejercicio con las Sociedades Concesionarias,</w:t>
      </w:r>
      <w:r w:rsidR="00812E84">
        <w:rPr>
          <w:rFonts w:ascii="Arial" w:hAnsi="Arial" w:cs="Arial"/>
        </w:rPr>
        <w:t xml:space="preserve"> </w:t>
      </w:r>
      <w:r>
        <w:rPr>
          <w:rFonts w:ascii="Arial" w:hAnsi="Arial" w:cs="Arial"/>
        </w:rPr>
        <w:t>el importe de los depósitos y fianzas  recibidos</w:t>
      </w:r>
      <w:r w:rsidR="00AE2A3A">
        <w:rPr>
          <w:rFonts w:ascii="Arial" w:hAnsi="Arial" w:cs="Arial"/>
        </w:rPr>
        <w:t xml:space="preserve"> </w:t>
      </w:r>
      <w:r>
        <w:rPr>
          <w:rFonts w:ascii="Arial" w:hAnsi="Arial" w:cs="Arial"/>
        </w:rPr>
        <w:t>así como el saldo de la partida “Acreedores comerciales y otras cuentas a pagar”, salvo otras deudas con administraciones públicas.</w:t>
      </w:r>
    </w:p>
    <w:p w14:paraId="3B466BBE" w14:textId="77777777" w:rsidR="006F2433" w:rsidRDefault="006F2433" w:rsidP="00852006">
      <w:pPr>
        <w:spacing w:before="200" w:line="276" w:lineRule="auto"/>
        <w:jc w:val="both"/>
        <w:rPr>
          <w:rFonts w:ascii="Arial" w:hAnsi="Arial" w:cs="Arial"/>
        </w:rPr>
      </w:pPr>
    </w:p>
    <w:p w14:paraId="17A0322A" w14:textId="77777777" w:rsidR="006F2433" w:rsidRDefault="006F2433" w:rsidP="00852006">
      <w:pPr>
        <w:spacing w:before="200" w:line="276" w:lineRule="auto"/>
        <w:jc w:val="both"/>
        <w:rPr>
          <w:rFonts w:ascii="Arial" w:hAnsi="Arial" w:cs="Arial"/>
        </w:rPr>
      </w:pPr>
    </w:p>
    <w:p w14:paraId="77B13C70" w14:textId="77777777" w:rsidR="00884120" w:rsidRDefault="009B0B40" w:rsidP="00852006">
      <w:pPr>
        <w:spacing w:before="200" w:line="276" w:lineRule="auto"/>
        <w:jc w:val="both"/>
        <w:rPr>
          <w:rFonts w:ascii="Arial" w:hAnsi="Arial" w:cs="Arial"/>
        </w:rPr>
      </w:pPr>
      <w:r w:rsidRPr="002F2F3D">
        <w:rPr>
          <w:rFonts w:ascii="Arial" w:hAnsi="Arial" w:cs="Arial"/>
        </w:rPr>
        <w:t xml:space="preserve">Dentro del Pasivo Corriente y bajo el epígrafe “Otros pasivos financieros” la empresa recoge </w:t>
      </w:r>
      <w:r w:rsidR="001119A9">
        <w:rPr>
          <w:rFonts w:ascii="Arial" w:hAnsi="Arial" w:cs="Arial"/>
        </w:rPr>
        <w:t xml:space="preserve">los saldos que al cierre del ejercicio mantiene con las sociedades concesionarias </w:t>
      </w:r>
      <w:proofErr w:type="spellStart"/>
      <w:r w:rsidR="001119A9">
        <w:rPr>
          <w:rFonts w:ascii="Arial" w:hAnsi="Arial" w:cs="Arial"/>
        </w:rPr>
        <w:t>Aguacanal</w:t>
      </w:r>
      <w:proofErr w:type="spellEnd"/>
      <w:r w:rsidR="001119A9">
        <w:rPr>
          <w:rFonts w:ascii="Arial" w:hAnsi="Arial" w:cs="Arial"/>
        </w:rPr>
        <w:t xml:space="preserve"> y Aguas de Navarra. </w:t>
      </w:r>
      <w:r w:rsidR="00AC489C">
        <w:rPr>
          <w:rFonts w:ascii="Arial" w:hAnsi="Arial" w:cs="Arial"/>
        </w:rPr>
        <w:t xml:space="preserve">Los saldos al cierre del ejercicio ascienden a </w:t>
      </w:r>
      <w:r w:rsidR="00884120">
        <w:rPr>
          <w:rFonts w:ascii="Arial" w:hAnsi="Arial" w:cs="Arial"/>
        </w:rPr>
        <w:t>2.337.526,18</w:t>
      </w:r>
      <w:r w:rsidR="00AE2A3A">
        <w:rPr>
          <w:rFonts w:ascii="Arial" w:hAnsi="Arial" w:cs="Arial"/>
        </w:rPr>
        <w:t xml:space="preserve"> euros y </w:t>
      </w:r>
      <w:r w:rsidR="00884120">
        <w:rPr>
          <w:rFonts w:ascii="Arial" w:hAnsi="Arial" w:cs="Arial"/>
        </w:rPr>
        <w:t>5.903.162,64</w:t>
      </w:r>
      <w:r w:rsidR="00AE2A3A">
        <w:rPr>
          <w:rFonts w:ascii="Arial" w:hAnsi="Arial" w:cs="Arial"/>
        </w:rPr>
        <w:t xml:space="preserve"> </w:t>
      </w:r>
      <w:r w:rsidR="0017121A">
        <w:rPr>
          <w:rFonts w:ascii="Arial" w:hAnsi="Arial" w:cs="Arial"/>
        </w:rPr>
        <w:t xml:space="preserve">euros respectivamente. </w:t>
      </w:r>
      <w:r w:rsidR="001119A9">
        <w:rPr>
          <w:rFonts w:ascii="Arial" w:hAnsi="Arial" w:cs="Arial"/>
        </w:rPr>
        <w:t>Los saldos al cierre del ejercicio 201</w:t>
      </w:r>
      <w:r w:rsidR="00884120">
        <w:rPr>
          <w:rFonts w:ascii="Arial" w:hAnsi="Arial" w:cs="Arial"/>
        </w:rPr>
        <w:t>8</w:t>
      </w:r>
      <w:r w:rsidR="001119A9">
        <w:rPr>
          <w:rFonts w:ascii="Arial" w:hAnsi="Arial" w:cs="Arial"/>
        </w:rPr>
        <w:t xml:space="preserve"> </w:t>
      </w:r>
      <w:r w:rsidR="00AC489C">
        <w:rPr>
          <w:rFonts w:ascii="Arial" w:hAnsi="Arial" w:cs="Arial"/>
        </w:rPr>
        <w:t>ascendían a</w:t>
      </w:r>
      <w:r w:rsidR="001119A9">
        <w:rPr>
          <w:rFonts w:ascii="Arial" w:hAnsi="Arial" w:cs="Arial"/>
        </w:rPr>
        <w:t xml:space="preserve"> </w:t>
      </w:r>
      <w:r w:rsidR="00884120">
        <w:rPr>
          <w:rFonts w:ascii="Arial" w:hAnsi="Arial" w:cs="Arial"/>
        </w:rPr>
        <w:t>2.490.427,84</w:t>
      </w:r>
      <w:r w:rsidR="001119A9">
        <w:rPr>
          <w:rFonts w:ascii="Arial" w:hAnsi="Arial" w:cs="Arial"/>
        </w:rPr>
        <w:t xml:space="preserve"> euros y </w:t>
      </w:r>
      <w:r w:rsidR="00884120">
        <w:rPr>
          <w:rFonts w:ascii="Arial" w:hAnsi="Arial" w:cs="Arial"/>
        </w:rPr>
        <w:t>1.221.191,03</w:t>
      </w:r>
      <w:r w:rsidR="001119A9">
        <w:rPr>
          <w:rFonts w:ascii="Arial" w:hAnsi="Arial" w:cs="Arial"/>
        </w:rPr>
        <w:t xml:space="preserve"> euros. </w:t>
      </w:r>
      <w:r w:rsidR="00B35BF5">
        <w:rPr>
          <w:rFonts w:ascii="Arial" w:hAnsi="Arial" w:cs="Arial"/>
        </w:rPr>
        <w:t>El epígrafe recoge de igual modo</w:t>
      </w:r>
      <w:r w:rsidR="001119A9">
        <w:rPr>
          <w:rFonts w:ascii="Arial" w:hAnsi="Arial" w:cs="Arial"/>
        </w:rPr>
        <w:t xml:space="preserve"> el </w:t>
      </w:r>
      <w:r>
        <w:rPr>
          <w:rFonts w:ascii="Arial" w:hAnsi="Arial" w:cs="Arial"/>
        </w:rPr>
        <w:t>importe</w:t>
      </w:r>
      <w:r w:rsidR="00B35BF5">
        <w:rPr>
          <w:rFonts w:ascii="Arial" w:hAnsi="Arial" w:cs="Arial"/>
        </w:rPr>
        <w:t xml:space="preserve"> de las fianzas y partidas pendientes de aplicación cuyo importe al cierre del ejercicio</w:t>
      </w:r>
      <w:r w:rsidR="00D51A03">
        <w:rPr>
          <w:rFonts w:ascii="Arial" w:hAnsi="Arial" w:cs="Arial"/>
        </w:rPr>
        <w:t xml:space="preserve"> 2019 </w:t>
      </w:r>
      <w:r w:rsidR="00B35BF5">
        <w:rPr>
          <w:rFonts w:ascii="Arial" w:hAnsi="Arial" w:cs="Arial"/>
        </w:rPr>
        <w:t xml:space="preserve"> asciende a </w:t>
      </w:r>
      <w:r w:rsidR="00D51A03">
        <w:rPr>
          <w:rFonts w:ascii="Arial" w:hAnsi="Arial" w:cs="Arial"/>
        </w:rPr>
        <w:t>8.693,04 euros, 6.146,37 euros en el ejercicio 2018. Recoge de igual modo el importe de las</w:t>
      </w:r>
      <w:r w:rsidRPr="002F2F3D">
        <w:rPr>
          <w:rFonts w:ascii="Arial" w:hAnsi="Arial" w:cs="Arial"/>
        </w:rPr>
        <w:t xml:space="preserve"> fianzas que la empresa exige como aval ante la realización de </w:t>
      </w:r>
      <w:r w:rsidR="00824200">
        <w:rPr>
          <w:rFonts w:ascii="Arial" w:hAnsi="Arial" w:cs="Arial"/>
        </w:rPr>
        <w:t xml:space="preserve">obras. </w:t>
      </w:r>
      <w:r w:rsidR="00824200" w:rsidRPr="00F6651E">
        <w:rPr>
          <w:rFonts w:ascii="Arial" w:hAnsi="Arial" w:cs="Arial"/>
        </w:rPr>
        <w:t>En 201</w:t>
      </w:r>
      <w:r w:rsidR="00824200">
        <w:rPr>
          <w:rFonts w:ascii="Arial" w:hAnsi="Arial" w:cs="Arial"/>
        </w:rPr>
        <w:t>9</w:t>
      </w:r>
      <w:r w:rsidR="00824200" w:rsidRPr="00F6651E">
        <w:rPr>
          <w:rFonts w:ascii="Arial" w:hAnsi="Arial" w:cs="Arial"/>
        </w:rPr>
        <w:t xml:space="preserve"> el importe de esta partida asciende a </w:t>
      </w:r>
      <w:r w:rsidR="00824200">
        <w:rPr>
          <w:rFonts w:ascii="Arial" w:hAnsi="Arial" w:cs="Arial"/>
        </w:rPr>
        <w:t>1.112.846,15</w:t>
      </w:r>
      <w:r w:rsidR="00824200" w:rsidRPr="00F6651E">
        <w:rPr>
          <w:rFonts w:ascii="Arial" w:hAnsi="Arial" w:cs="Arial"/>
        </w:rPr>
        <w:t xml:space="preserve"> euros. </w:t>
      </w:r>
      <w:r w:rsidR="00824200">
        <w:rPr>
          <w:rFonts w:ascii="Arial" w:hAnsi="Arial" w:cs="Arial"/>
        </w:rPr>
        <w:t>Mismo importe en 2018. Recoge de igual modo el ingreso</w:t>
      </w:r>
      <w:r w:rsidR="00884120">
        <w:rPr>
          <w:rFonts w:ascii="Arial" w:hAnsi="Arial" w:cs="Arial"/>
        </w:rPr>
        <w:t xml:space="preserve"> que la Sociedad ha recibido al cierre del ejercicio como empresa gestora de un proyecto europeo. Dicho importe, esto es 433.999,60 euros, se reparte entre las empresas socias que </w:t>
      </w:r>
      <w:r w:rsidR="00824200">
        <w:rPr>
          <w:rFonts w:ascii="Arial" w:hAnsi="Arial" w:cs="Arial"/>
        </w:rPr>
        <w:t xml:space="preserve">también </w:t>
      </w:r>
      <w:r w:rsidR="00884120">
        <w:rPr>
          <w:rFonts w:ascii="Arial" w:hAnsi="Arial" w:cs="Arial"/>
        </w:rPr>
        <w:t>participan en el proyecto.</w:t>
      </w:r>
      <w:r>
        <w:rPr>
          <w:rFonts w:ascii="Arial" w:hAnsi="Arial" w:cs="Arial"/>
        </w:rPr>
        <w:t xml:space="preserve"> </w:t>
      </w:r>
    </w:p>
    <w:p w14:paraId="656883F4" w14:textId="77777777" w:rsidR="00D75DC0" w:rsidRDefault="009B0B40" w:rsidP="00852006">
      <w:pPr>
        <w:spacing w:before="200" w:line="276" w:lineRule="auto"/>
        <w:jc w:val="both"/>
        <w:rPr>
          <w:rFonts w:ascii="Arial" w:hAnsi="Arial" w:cs="Arial"/>
        </w:rPr>
      </w:pPr>
      <w:r w:rsidRPr="00354D22">
        <w:rPr>
          <w:rFonts w:ascii="Arial" w:hAnsi="Arial" w:cs="Arial"/>
        </w:rPr>
        <w:t xml:space="preserve">Dentro de la partida de “Instrumentos Financieros a corto plazo” figura un saldo de </w:t>
      </w:r>
      <w:r w:rsidR="00824200">
        <w:rPr>
          <w:rFonts w:ascii="Arial" w:hAnsi="Arial" w:cs="Arial"/>
        </w:rPr>
        <w:t>594.193,29</w:t>
      </w:r>
      <w:r>
        <w:rPr>
          <w:rFonts w:ascii="Arial" w:hAnsi="Arial" w:cs="Arial"/>
        </w:rPr>
        <w:t xml:space="preserve"> euros</w:t>
      </w:r>
      <w:r w:rsidRPr="00354D22">
        <w:rPr>
          <w:rFonts w:ascii="Arial" w:hAnsi="Arial" w:cs="Arial"/>
        </w:rPr>
        <w:t xml:space="preserve"> correspondiente a “Acreedores comerciales y otras cuentas a pagar”. En 20</w:t>
      </w:r>
      <w:r>
        <w:rPr>
          <w:rFonts w:ascii="Arial" w:hAnsi="Arial" w:cs="Arial"/>
        </w:rPr>
        <w:t>1</w:t>
      </w:r>
      <w:r w:rsidR="00824200">
        <w:rPr>
          <w:rFonts w:ascii="Arial" w:hAnsi="Arial" w:cs="Arial"/>
        </w:rPr>
        <w:t>8</w:t>
      </w:r>
      <w:r w:rsidRPr="00354D22">
        <w:rPr>
          <w:rFonts w:ascii="Arial" w:hAnsi="Arial" w:cs="Arial"/>
        </w:rPr>
        <w:t xml:space="preserve"> la cifra</w:t>
      </w:r>
      <w:r>
        <w:rPr>
          <w:rFonts w:ascii="Arial" w:hAnsi="Arial" w:cs="Arial"/>
        </w:rPr>
        <w:t xml:space="preserve"> ascendía a </w:t>
      </w:r>
      <w:r w:rsidR="00824200">
        <w:rPr>
          <w:rFonts w:ascii="Arial" w:hAnsi="Arial" w:cs="Arial"/>
        </w:rPr>
        <w:t>667.070,30</w:t>
      </w:r>
      <w:r>
        <w:rPr>
          <w:rFonts w:ascii="Arial" w:hAnsi="Arial" w:cs="Arial"/>
        </w:rPr>
        <w:t xml:space="preserve"> euros</w:t>
      </w:r>
      <w:r w:rsidRPr="00354D22">
        <w:rPr>
          <w:rFonts w:ascii="Arial" w:hAnsi="Arial" w:cs="Arial"/>
        </w:rPr>
        <w:t>.</w:t>
      </w:r>
      <w:r>
        <w:rPr>
          <w:rFonts w:ascii="Arial" w:hAnsi="Arial" w:cs="Arial"/>
        </w:rPr>
        <w:t xml:space="preserve"> Los saldos no recogen las deudas con las Administraciones Públicas. </w:t>
      </w:r>
    </w:p>
    <w:p w14:paraId="759B1DCD" w14:textId="77777777" w:rsidR="009B0B40" w:rsidRDefault="009B0B40" w:rsidP="00852006">
      <w:pPr>
        <w:spacing w:before="200" w:line="276" w:lineRule="auto"/>
        <w:jc w:val="both"/>
        <w:rPr>
          <w:rFonts w:ascii="Arial" w:hAnsi="Arial" w:cs="Arial"/>
        </w:rPr>
      </w:pPr>
      <w:r w:rsidRPr="00354D22">
        <w:rPr>
          <w:rFonts w:ascii="Arial" w:hAnsi="Arial" w:cs="Arial"/>
        </w:rPr>
        <w:t>El desglose de dicho saldo es el siguiente:</w:t>
      </w:r>
    </w:p>
    <w:p w14:paraId="5AD32C78" w14:textId="77777777" w:rsidR="00E9593A" w:rsidRDefault="00F64814" w:rsidP="00263289">
      <w:pPr>
        <w:spacing w:before="200" w:line="276" w:lineRule="auto"/>
        <w:jc w:val="center"/>
        <w:rPr>
          <w:rFonts w:ascii="Arial" w:hAnsi="Arial" w:cs="Arial"/>
        </w:rPr>
      </w:pPr>
      <w:r w:rsidRPr="00F64814">
        <w:rPr>
          <w:noProof/>
          <w:lang w:val="es-ES"/>
        </w:rPr>
        <w:drawing>
          <wp:inline distT="0" distB="0" distL="0" distR="0" wp14:anchorId="5939C11D" wp14:editId="17B25BAA">
            <wp:extent cx="3832023" cy="1477211"/>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32138" cy="1477255"/>
                    </a:xfrm>
                    <a:prstGeom prst="rect">
                      <a:avLst/>
                    </a:prstGeom>
                    <a:noFill/>
                    <a:ln>
                      <a:noFill/>
                    </a:ln>
                  </pic:spPr>
                </pic:pic>
              </a:graphicData>
            </a:graphic>
          </wp:inline>
        </w:drawing>
      </w:r>
    </w:p>
    <w:p w14:paraId="725DE01E" w14:textId="77777777" w:rsidR="00983D5E" w:rsidRDefault="00983D5E">
      <w:pPr>
        <w:rPr>
          <w:rFonts w:ascii="EurostileT" w:hAnsi="EurostileT"/>
          <w:b/>
          <w:bCs/>
          <w:color w:val="005BA6"/>
          <w:kern w:val="32"/>
          <w:sz w:val="28"/>
          <w:szCs w:val="28"/>
        </w:rPr>
      </w:pPr>
      <w:bookmarkStart w:id="12" w:name="_Toc350855619"/>
    </w:p>
    <w:p w14:paraId="166BC7A7" w14:textId="77777777" w:rsidR="009B0B40" w:rsidRPr="0013770B" w:rsidRDefault="009B0B40" w:rsidP="00852006">
      <w:pPr>
        <w:pStyle w:val="Ttulo1"/>
        <w:spacing w:before="200" w:line="276" w:lineRule="auto"/>
        <w:rPr>
          <w:rFonts w:ascii="EurostileT" w:hAnsi="EurostileT"/>
          <w:color w:val="005BA6"/>
          <w:sz w:val="28"/>
          <w:szCs w:val="28"/>
        </w:rPr>
      </w:pPr>
      <w:r w:rsidRPr="0013770B">
        <w:rPr>
          <w:rFonts w:ascii="EurostileT" w:hAnsi="EurostileT"/>
          <w:color w:val="005BA6"/>
          <w:sz w:val="28"/>
          <w:szCs w:val="28"/>
        </w:rPr>
        <w:t>10. FONDOS PROPIOS</w:t>
      </w:r>
      <w:bookmarkEnd w:id="12"/>
    </w:p>
    <w:p w14:paraId="3FD702BF" w14:textId="77777777" w:rsidR="00240A33" w:rsidRDefault="00410EA1" w:rsidP="00852006">
      <w:pPr>
        <w:spacing w:before="200" w:line="276" w:lineRule="auto"/>
        <w:jc w:val="both"/>
        <w:rPr>
          <w:rFonts w:ascii="Arial" w:hAnsi="Arial" w:cs="Arial"/>
        </w:rPr>
      </w:pPr>
      <w:r>
        <w:rPr>
          <w:rFonts w:ascii="Arial" w:hAnsi="Arial" w:cs="Arial"/>
        </w:rPr>
        <w:t>Al cierre del ejercicio 201</w:t>
      </w:r>
      <w:r w:rsidR="00A67695">
        <w:rPr>
          <w:rFonts w:ascii="Arial" w:hAnsi="Arial" w:cs="Arial"/>
        </w:rPr>
        <w:t>9</w:t>
      </w:r>
      <w:r w:rsidR="00A65BDD">
        <w:rPr>
          <w:rFonts w:ascii="Arial" w:hAnsi="Arial" w:cs="Arial"/>
        </w:rPr>
        <w:t xml:space="preserve"> la Sociedad presenta unos Fondos Propios </w:t>
      </w:r>
      <w:r w:rsidR="00996936">
        <w:rPr>
          <w:rFonts w:ascii="Arial" w:hAnsi="Arial" w:cs="Arial"/>
        </w:rPr>
        <w:t>de</w:t>
      </w:r>
      <w:r w:rsidR="00A65BDD">
        <w:rPr>
          <w:rFonts w:ascii="Arial" w:hAnsi="Arial" w:cs="Arial"/>
        </w:rPr>
        <w:t xml:space="preserve"> </w:t>
      </w:r>
      <w:r w:rsidR="00A67695">
        <w:rPr>
          <w:rFonts w:ascii="Arial" w:hAnsi="Arial" w:cs="Arial"/>
        </w:rPr>
        <w:t>2.075.121,88</w:t>
      </w:r>
      <w:r w:rsidR="00A65BDD">
        <w:rPr>
          <w:rFonts w:ascii="Arial" w:hAnsi="Arial" w:cs="Arial"/>
        </w:rPr>
        <w:t xml:space="preserve"> euros.</w:t>
      </w:r>
      <w:r w:rsidR="00996936">
        <w:rPr>
          <w:rFonts w:ascii="Arial" w:hAnsi="Arial" w:cs="Arial"/>
        </w:rPr>
        <w:t xml:space="preserve"> </w:t>
      </w:r>
    </w:p>
    <w:p w14:paraId="36913241" w14:textId="77777777" w:rsidR="009E3E72" w:rsidRPr="00A311DC" w:rsidRDefault="009B0B40" w:rsidP="00852006">
      <w:pPr>
        <w:spacing w:before="200" w:line="276" w:lineRule="auto"/>
        <w:jc w:val="both"/>
        <w:rPr>
          <w:rFonts w:ascii="Arial" w:hAnsi="Arial" w:cs="Arial"/>
        </w:rPr>
      </w:pPr>
      <w:r w:rsidRPr="00A311DC">
        <w:rPr>
          <w:rFonts w:ascii="Arial" w:hAnsi="Arial" w:cs="Arial"/>
        </w:rPr>
        <w:t>El capital social a 31 de diciembre de 201</w:t>
      </w:r>
      <w:r w:rsidR="00A67695">
        <w:rPr>
          <w:rFonts w:ascii="Arial" w:hAnsi="Arial" w:cs="Arial"/>
        </w:rPr>
        <w:t>9</w:t>
      </w:r>
      <w:r w:rsidRPr="00A311DC">
        <w:rPr>
          <w:rFonts w:ascii="Arial" w:hAnsi="Arial" w:cs="Arial"/>
        </w:rPr>
        <w:t xml:space="preserve"> está constituido por sei</w:t>
      </w:r>
      <w:r>
        <w:rPr>
          <w:rFonts w:ascii="Arial" w:hAnsi="Arial" w:cs="Arial"/>
        </w:rPr>
        <w:t>scienta</w:t>
      </w:r>
      <w:r w:rsidRPr="00A311DC">
        <w:rPr>
          <w:rFonts w:ascii="Arial" w:hAnsi="Arial" w:cs="Arial"/>
        </w:rPr>
        <w:t>s dos  acciones nominativas de 100 euros de valor nominal cada una, totalmente suscritas y desembolsad</w:t>
      </w:r>
      <w:r w:rsidR="003036DB">
        <w:rPr>
          <w:rFonts w:ascii="Arial" w:hAnsi="Arial" w:cs="Arial"/>
        </w:rPr>
        <w:t>as por el Gobierno de Navarra que ostentan los mismos derechos políticos y económicos.</w:t>
      </w:r>
    </w:p>
    <w:p w14:paraId="7B41AB6C" w14:textId="77777777" w:rsidR="009B0B40" w:rsidRDefault="009B0B40" w:rsidP="00852006">
      <w:pPr>
        <w:tabs>
          <w:tab w:val="right" w:pos="6237"/>
          <w:tab w:val="right" w:pos="8505"/>
        </w:tabs>
        <w:spacing w:before="200" w:line="276" w:lineRule="auto"/>
        <w:jc w:val="both"/>
        <w:rPr>
          <w:rFonts w:ascii="Arial" w:hAnsi="Arial" w:cs="Arial"/>
          <w:i/>
        </w:rPr>
      </w:pPr>
      <w:r w:rsidRPr="00A311DC">
        <w:rPr>
          <w:rFonts w:ascii="Arial" w:hAnsi="Arial" w:cs="Arial"/>
        </w:rPr>
        <w:tab/>
        <w:t xml:space="preserve"> Mediante Acuerdo del Gobierno de Navarra de 18 de enero de 2010, la titularidad de las acciones de la Administración de la Comunidad Foral de Navarra se incorporó a la sociedad “Corporación Pública Empresarial de Navarra</w:t>
      </w:r>
      <w:r>
        <w:rPr>
          <w:rFonts w:ascii="Arial" w:hAnsi="Arial" w:cs="Arial"/>
        </w:rPr>
        <w:t>,</w:t>
      </w:r>
      <w:r w:rsidRPr="00A311DC">
        <w:rPr>
          <w:rFonts w:ascii="Arial" w:hAnsi="Arial" w:cs="Arial"/>
        </w:rPr>
        <w:t xml:space="preserve"> S.L.U.”. Según dicho Acuerdo, </w:t>
      </w:r>
      <w:r w:rsidRPr="00A311DC">
        <w:rPr>
          <w:rFonts w:ascii="Arial" w:hAnsi="Arial" w:cs="Arial"/>
          <w:i/>
        </w:rPr>
        <w:t>“la transmisión de los derechos derivados de las acciones se entenderá realizada con efectos desde el 1 de enero de 2010”.</w:t>
      </w:r>
    </w:p>
    <w:p w14:paraId="215A36D6" w14:textId="77777777" w:rsidR="006F2433" w:rsidRDefault="006F2433" w:rsidP="00852006">
      <w:pPr>
        <w:spacing w:before="200" w:line="276" w:lineRule="auto"/>
        <w:jc w:val="both"/>
        <w:rPr>
          <w:rFonts w:ascii="Arial" w:hAnsi="Arial" w:cs="Arial"/>
        </w:rPr>
      </w:pPr>
    </w:p>
    <w:p w14:paraId="1CF67919" w14:textId="77777777" w:rsidR="006F2433" w:rsidRDefault="006F2433" w:rsidP="00852006">
      <w:pPr>
        <w:spacing w:before="200" w:line="276" w:lineRule="auto"/>
        <w:jc w:val="both"/>
        <w:rPr>
          <w:rFonts w:ascii="Arial" w:hAnsi="Arial" w:cs="Arial"/>
        </w:rPr>
      </w:pPr>
    </w:p>
    <w:p w14:paraId="36908741" w14:textId="77777777" w:rsidR="006F2433" w:rsidRDefault="006F2433" w:rsidP="00852006">
      <w:pPr>
        <w:spacing w:before="200" w:line="276" w:lineRule="auto"/>
        <w:jc w:val="both"/>
        <w:rPr>
          <w:rFonts w:ascii="Arial" w:hAnsi="Arial" w:cs="Arial"/>
        </w:rPr>
      </w:pPr>
    </w:p>
    <w:p w14:paraId="61A193EA" w14:textId="77777777" w:rsidR="009B0B40" w:rsidRPr="00A311DC" w:rsidRDefault="009B0B40" w:rsidP="00852006">
      <w:pPr>
        <w:spacing w:before="200" w:line="276" w:lineRule="auto"/>
        <w:jc w:val="both"/>
        <w:rPr>
          <w:rFonts w:ascii="Arial" w:hAnsi="Arial" w:cs="Arial"/>
        </w:rPr>
      </w:pPr>
      <w:r w:rsidRPr="00A311DC">
        <w:rPr>
          <w:rFonts w:ascii="Arial" w:hAnsi="Arial" w:cs="Arial"/>
        </w:rPr>
        <w:t xml:space="preserve">La dotación a la reserva legal se determina de acuerdo con la Ley de Sociedades de Capital, que establece que las sociedades que obtengan beneficios en el ejercicio vendrán obligadas a detraer de los citados beneficios un 10% como mínimo, hasta constituir una reserva que alcance el 20% del capital social. Las dotaciones realizadas a lo largo de ejercicios anteriores han alcanzado el porcentaje determinado, es decir los </w:t>
      </w:r>
      <w:r>
        <w:rPr>
          <w:rFonts w:ascii="Arial" w:hAnsi="Arial" w:cs="Arial"/>
        </w:rPr>
        <w:t>12.040,00</w:t>
      </w:r>
      <w:r w:rsidRPr="00A311DC">
        <w:rPr>
          <w:rFonts w:ascii="Arial" w:hAnsi="Arial" w:cs="Arial"/>
        </w:rPr>
        <w:t xml:space="preserve"> euros necesarios en función del capital social. Esta reserva no es de libre disposición, pero puede utilizarse para compensar pérdidas, en el caso de que no existan reservas suficientes con este fin.</w:t>
      </w:r>
    </w:p>
    <w:p w14:paraId="0EB466E8" w14:textId="77777777" w:rsidR="009B0B40" w:rsidRPr="009A4025" w:rsidRDefault="009B0B40" w:rsidP="00852006">
      <w:pPr>
        <w:spacing w:before="200" w:line="276" w:lineRule="auto"/>
        <w:jc w:val="both"/>
        <w:rPr>
          <w:rFonts w:ascii="Arial" w:hAnsi="Arial" w:cs="Arial"/>
        </w:rPr>
      </w:pPr>
      <w:r>
        <w:rPr>
          <w:rFonts w:ascii="Arial" w:hAnsi="Arial" w:cs="Arial"/>
        </w:rPr>
        <w:t>Al cierre del ejercicio 201</w:t>
      </w:r>
      <w:r w:rsidR="00A67695">
        <w:rPr>
          <w:rFonts w:ascii="Arial" w:hAnsi="Arial" w:cs="Arial"/>
        </w:rPr>
        <w:t>9</w:t>
      </w:r>
      <w:r>
        <w:rPr>
          <w:rFonts w:ascii="Arial" w:hAnsi="Arial" w:cs="Arial"/>
        </w:rPr>
        <w:t xml:space="preserve">, el importe de las reservas voluntarias asciende a </w:t>
      </w:r>
      <w:r w:rsidR="00C941D8">
        <w:rPr>
          <w:rFonts w:ascii="Arial" w:hAnsi="Arial" w:cs="Arial"/>
        </w:rPr>
        <w:t>770.174,62</w:t>
      </w:r>
      <w:r>
        <w:rPr>
          <w:rFonts w:ascii="Arial" w:hAnsi="Arial" w:cs="Arial"/>
        </w:rPr>
        <w:t xml:space="preserve"> euros. La cifra al cierre del ejercicio 201</w:t>
      </w:r>
      <w:r w:rsidR="00A67695">
        <w:rPr>
          <w:rFonts w:ascii="Arial" w:hAnsi="Arial" w:cs="Arial"/>
        </w:rPr>
        <w:t>8</w:t>
      </w:r>
      <w:r>
        <w:rPr>
          <w:rFonts w:ascii="Arial" w:hAnsi="Arial" w:cs="Arial"/>
        </w:rPr>
        <w:t xml:space="preserve"> </w:t>
      </w:r>
      <w:r w:rsidR="009E3E72">
        <w:rPr>
          <w:rFonts w:ascii="Arial" w:hAnsi="Arial" w:cs="Arial"/>
        </w:rPr>
        <w:t>presenta el mismo importe.</w:t>
      </w:r>
    </w:p>
    <w:p w14:paraId="39DC7F2A" w14:textId="77777777" w:rsidR="00882D83" w:rsidRPr="00A311DC" w:rsidRDefault="009B0B40" w:rsidP="00882D83">
      <w:pPr>
        <w:spacing w:before="200" w:line="276" w:lineRule="auto"/>
        <w:jc w:val="both"/>
        <w:rPr>
          <w:rFonts w:ascii="Arial" w:hAnsi="Arial" w:cs="Arial"/>
        </w:rPr>
      </w:pPr>
      <w:r>
        <w:rPr>
          <w:rFonts w:ascii="Arial" w:hAnsi="Arial" w:cs="Arial"/>
        </w:rPr>
        <w:t>El proceso de fusión</w:t>
      </w:r>
      <w:r w:rsidR="00882D83">
        <w:rPr>
          <w:rFonts w:ascii="Arial" w:hAnsi="Arial" w:cs="Arial"/>
        </w:rPr>
        <w:t>, comentado en la nota 1,</w:t>
      </w:r>
      <w:r>
        <w:rPr>
          <w:rFonts w:ascii="Arial" w:hAnsi="Arial" w:cs="Arial"/>
        </w:rPr>
        <w:t xml:space="preserve"> generó una reserva de fusión que ascendía  a 4.219.</w:t>
      </w:r>
      <w:r w:rsidR="008D0DD5">
        <w:rPr>
          <w:rFonts w:ascii="Arial" w:hAnsi="Arial" w:cs="Arial"/>
        </w:rPr>
        <w:t xml:space="preserve">399,59 </w:t>
      </w:r>
      <w:proofErr w:type="spellStart"/>
      <w:r w:rsidR="00C941D8">
        <w:rPr>
          <w:rFonts w:ascii="Arial" w:hAnsi="Arial" w:cs="Arial"/>
        </w:rPr>
        <w:t>euros.</w:t>
      </w:r>
      <w:r w:rsidR="00882D83">
        <w:rPr>
          <w:rFonts w:ascii="Arial" w:hAnsi="Arial" w:cs="Arial"/>
        </w:rPr>
        <w:t>En</w:t>
      </w:r>
      <w:proofErr w:type="spellEnd"/>
      <w:r w:rsidR="00882D83">
        <w:rPr>
          <w:rFonts w:ascii="Arial" w:hAnsi="Arial" w:cs="Arial"/>
        </w:rPr>
        <w:t xml:space="preserve"> el ejercicio 2019 la Sociedad ha recibido de su Accionista Único, la Corporación Pública Empresarial de Navarra, S.L., una aportación dineraria de importe 1.500.000 euros. En 2018 la cifra ascendía igualmente a 1.500.000 euros. En 2017 la aportación realizada fue de 375.000 euros.</w:t>
      </w:r>
    </w:p>
    <w:p w14:paraId="5B074087" w14:textId="77777777" w:rsidR="009B0B40" w:rsidRPr="0013770B" w:rsidRDefault="009B0B40" w:rsidP="00852006">
      <w:pPr>
        <w:pStyle w:val="Ttulo1"/>
        <w:spacing w:before="200" w:line="276" w:lineRule="auto"/>
        <w:rPr>
          <w:rFonts w:ascii="EurostileT" w:hAnsi="EurostileT"/>
          <w:color w:val="005BA6"/>
          <w:sz w:val="28"/>
          <w:szCs w:val="28"/>
        </w:rPr>
      </w:pPr>
      <w:bookmarkStart w:id="13" w:name="_Toc350855620"/>
      <w:r w:rsidRPr="0013770B">
        <w:rPr>
          <w:rFonts w:ascii="EurostileT" w:hAnsi="EurostileT"/>
          <w:color w:val="005BA6"/>
          <w:sz w:val="28"/>
          <w:szCs w:val="28"/>
        </w:rPr>
        <w:t>11. AVALES</w:t>
      </w:r>
      <w:bookmarkEnd w:id="13"/>
    </w:p>
    <w:p w14:paraId="404365D1" w14:textId="77777777" w:rsidR="009B0B40" w:rsidRPr="00C416E7" w:rsidRDefault="009B0B40" w:rsidP="00852006">
      <w:pPr>
        <w:pStyle w:val="Prrafodelista"/>
        <w:spacing w:before="200" w:line="276" w:lineRule="auto"/>
        <w:ind w:left="0"/>
        <w:jc w:val="both"/>
        <w:rPr>
          <w:rFonts w:ascii="Arial" w:hAnsi="Arial" w:cs="Arial"/>
          <w:b/>
          <w:color w:val="005BA6"/>
          <w:sz w:val="24"/>
          <w:szCs w:val="24"/>
        </w:rPr>
      </w:pPr>
      <w:r>
        <w:rPr>
          <w:rFonts w:ascii="Arial" w:hAnsi="Arial" w:cs="Arial"/>
          <w:b/>
          <w:color w:val="005BA6"/>
          <w:sz w:val="24"/>
          <w:szCs w:val="24"/>
        </w:rPr>
        <w:t>11</w:t>
      </w:r>
      <w:r w:rsidRPr="00C416E7">
        <w:rPr>
          <w:rFonts w:ascii="Arial" w:hAnsi="Arial" w:cs="Arial"/>
          <w:b/>
          <w:color w:val="005BA6"/>
          <w:sz w:val="24"/>
          <w:szCs w:val="24"/>
        </w:rPr>
        <w:t>.1.- Avales Entregados</w:t>
      </w:r>
    </w:p>
    <w:p w14:paraId="74A5D68B" w14:textId="77777777" w:rsidR="009B0B40" w:rsidRDefault="009B0B40" w:rsidP="00852006">
      <w:pPr>
        <w:spacing w:before="200" w:line="276" w:lineRule="auto"/>
        <w:jc w:val="both"/>
        <w:rPr>
          <w:rFonts w:ascii="Arial" w:hAnsi="Arial" w:cs="Arial"/>
        </w:rPr>
      </w:pPr>
      <w:r>
        <w:rPr>
          <w:rFonts w:ascii="Arial" w:hAnsi="Arial" w:cs="Arial"/>
        </w:rPr>
        <w:t xml:space="preserve">La </w:t>
      </w:r>
      <w:r w:rsidRPr="00D241CB">
        <w:rPr>
          <w:rFonts w:ascii="Arial" w:hAnsi="Arial" w:cs="Arial"/>
        </w:rPr>
        <w:t xml:space="preserve"> </w:t>
      </w:r>
      <w:r>
        <w:rPr>
          <w:rFonts w:ascii="Arial" w:hAnsi="Arial" w:cs="Arial"/>
        </w:rPr>
        <w:t>S</w:t>
      </w:r>
      <w:r w:rsidRPr="00D241CB">
        <w:rPr>
          <w:rFonts w:ascii="Arial" w:hAnsi="Arial" w:cs="Arial"/>
        </w:rPr>
        <w:t>ociedad</w:t>
      </w:r>
      <w:r>
        <w:rPr>
          <w:rFonts w:ascii="Arial" w:hAnsi="Arial" w:cs="Arial"/>
        </w:rPr>
        <w:t xml:space="preserve"> </w:t>
      </w:r>
      <w:r w:rsidRPr="00D241CB">
        <w:rPr>
          <w:rFonts w:ascii="Arial" w:hAnsi="Arial" w:cs="Arial"/>
        </w:rPr>
        <w:t xml:space="preserve"> tiene depositado</w:t>
      </w:r>
      <w:r>
        <w:rPr>
          <w:rFonts w:ascii="Arial" w:hAnsi="Arial" w:cs="Arial"/>
        </w:rPr>
        <w:t>s</w:t>
      </w:r>
      <w:r w:rsidRPr="00D241CB">
        <w:rPr>
          <w:rFonts w:ascii="Arial" w:hAnsi="Arial" w:cs="Arial"/>
        </w:rPr>
        <w:t xml:space="preserve"> </w:t>
      </w:r>
      <w:r>
        <w:rPr>
          <w:rFonts w:ascii="Arial" w:hAnsi="Arial" w:cs="Arial"/>
        </w:rPr>
        <w:t xml:space="preserve">avales por un importe global de </w:t>
      </w:r>
      <w:r w:rsidRPr="00D241CB">
        <w:rPr>
          <w:rFonts w:ascii="Arial" w:hAnsi="Arial" w:cs="Arial"/>
        </w:rPr>
        <w:t xml:space="preserve"> </w:t>
      </w:r>
      <w:r w:rsidR="00374A14">
        <w:rPr>
          <w:rFonts w:ascii="Arial" w:hAnsi="Arial" w:cs="Arial"/>
        </w:rPr>
        <w:t>29.825,76</w:t>
      </w:r>
      <w:r w:rsidRPr="00D241CB">
        <w:rPr>
          <w:rFonts w:ascii="Arial" w:hAnsi="Arial" w:cs="Arial"/>
        </w:rPr>
        <w:t xml:space="preserve"> euros, concedido</w:t>
      </w:r>
      <w:r>
        <w:rPr>
          <w:rFonts w:ascii="Arial" w:hAnsi="Arial" w:cs="Arial"/>
        </w:rPr>
        <w:t xml:space="preserve">s </w:t>
      </w:r>
      <w:r w:rsidRPr="00D241CB">
        <w:rPr>
          <w:rFonts w:ascii="Arial" w:hAnsi="Arial" w:cs="Arial"/>
        </w:rPr>
        <w:t xml:space="preserve"> por Caja </w:t>
      </w:r>
      <w:r>
        <w:rPr>
          <w:rFonts w:ascii="Arial" w:hAnsi="Arial" w:cs="Arial"/>
        </w:rPr>
        <w:t>Rural</w:t>
      </w:r>
      <w:r w:rsidRPr="00D241CB">
        <w:rPr>
          <w:rFonts w:ascii="Arial" w:hAnsi="Arial" w:cs="Arial"/>
        </w:rPr>
        <w:t xml:space="preserve"> de Navarra</w:t>
      </w:r>
      <w:r>
        <w:rPr>
          <w:rFonts w:ascii="Arial" w:hAnsi="Arial" w:cs="Arial"/>
        </w:rPr>
        <w:t xml:space="preserve"> y cuyos beneficiar</w:t>
      </w:r>
      <w:r w:rsidR="003036DB">
        <w:rPr>
          <w:rFonts w:ascii="Arial" w:hAnsi="Arial" w:cs="Arial"/>
        </w:rPr>
        <w:t xml:space="preserve">ios son las sociedades Solred, </w:t>
      </w:r>
      <w:r>
        <w:rPr>
          <w:rFonts w:ascii="Arial" w:hAnsi="Arial" w:cs="Arial"/>
        </w:rPr>
        <w:t>Cepsa y el Ministerio de Agricultura, Alimentación y Medio Ambiente. Esta cifra no ha variado respecto del ejercicio 201</w:t>
      </w:r>
      <w:r w:rsidR="00A67695">
        <w:rPr>
          <w:rFonts w:ascii="Arial" w:hAnsi="Arial" w:cs="Arial"/>
        </w:rPr>
        <w:t>8</w:t>
      </w:r>
      <w:r>
        <w:rPr>
          <w:rFonts w:ascii="Arial" w:hAnsi="Arial" w:cs="Arial"/>
        </w:rPr>
        <w:t>.</w:t>
      </w:r>
    </w:p>
    <w:p w14:paraId="1924879D" w14:textId="77777777" w:rsidR="00983D5E" w:rsidRDefault="00983D5E">
      <w:pPr>
        <w:rPr>
          <w:rFonts w:ascii="Arial" w:hAnsi="Arial" w:cs="Arial"/>
          <w:b/>
          <w:color w:val="005BA6"/>
          <w:sz w:val="24"/>
          <w:szCs w:val="24"/>
        </w:rPr>
      </w:pPr>
    </w:p>
    <w:p w14:paraId="297341EB" w14:textId="77777777" w:rsidR="009B0B40" w:rsidRPr="00C416E7" w:rsidRDefault="009B0B40" w:rsidP="00852006">
      <w:pPr>
        <w:pStyle w:val="Prrafodelista"/>
        <w:spacing w:before="200" w:line="276" w:lineRule="auto"/>
        <w:ind w:left="0"/>
        <w:jc w:val="both"/>
        <w:rPr>
          <w:rFonts w:ascii="Arial" w:hAnsi="Arial" w:cs="Arial"/>
          <w:b/>
          <w:color w:val="005BA6"/>
          <w:sz w:val="24"/>
          <w:szCs w:val="24"/>
        </w:rPr>
      </w:pPr>
      <w:r>
        <w:rPr>
          <w:rFonts w:ascii="Arial" w:hAnsi="Arial" w:cs="Arial"/>
          <w:b/>
          <w:color w:val="005BA6"/>
          <w:sz w:val="24"/>
          <w:szCs w:val="24"/>
        </w:rPr>
        <w:t>11</w:t>
      </w:r>
      <w:r w:rsidRPr="00C416E7">
        <w:rPr>
          <w:rFonts w:ascii="Arial" w:hAnsi="Arial" w:cs="Arial"/>
          <w:b/>
          <w:color w:val="005BA6"/>
          <w:sz w:val="24"/>
          <w:szCs w:val="24"/>
        </w:rPr>
        <w:t>.2.- Avales Recibidos</w:t>
      </w:r>
    </w:p>
    <w:p w14:paraId="45B48A78" w14:textId="77777777" w:rsidR="009B0B40" w:rsidRDefault="009B0B40" w:rsidP="00852006">
      <w:pPr>
        <w:spacing w:before="200" w:line="276" w:lineRule="auto"/>
        <w:jc w:val="both"/>
        <w:rPr>
          <w:rFonts w:ascii="Arial" w:hAnsi="Arial" w:cs="Arial"/>
        </w:rPr>
      </w:pPr>
      <w:r w:rsidRPr="00351AE8">
        <w:rPr>
          <w:rFonts w:ascii="Arial" w:hAnsi="Arial" w:cs="Arial"/>
        </w:rPr>
        <w:t>Así mismo, la Sociedad tiene avales recibidos</w:t>
      </w:r>
      <w:r>
        <w:rPr>
          <w:rFonts w:ascii="Arial" w:hAnsi="Arial" w:cs="Arial"/>
        </w:rPr>
        <w:t xml:space="preserve"> por un importe total de </w:t>
      </w:r>
      <w:r w:rsidR="00FC5C8A">
        <w:rPr>
          <w:rFonts w:ascii="Arial" w:hAnsi="Arial" w:cs="Arial"/>
        </w:rPr>
        <w:t>4.118.176,03</w:t>
      </w:r>
      <w:r>
        <w:rPr>
          <w:rFonts w:ascii="Arial" w:hAnsi="Arial" w:cs="Arial"/>
        </w:rPr>
        <w:t xml:space="preserve">  euros</w:t>
      </w:r>
      <w:r w:rsidRPr="00351AE8">
        <w:rPr>
          <w:rFonts w:ascii="Arial" w:hAnsi="Arial" w:cs="Arial"/>
        </w:rPr>
        <w:t xml:space="preserve"> tanto de contratistas por obras y servicios adjudicados, como de beneficiarios de obras por contribuciones pendientes al presupuesto. La relación de avales recibidos pendientes de devolución a fecha 31 de diciembre de 201</w:t>
      </w:r>
      <w:r w:rsidR="00FC5C8A">
        <w:rPr>
          <w:rFonts w:ascii="Arial" w:hAnsi="Arial" w:cs="Arial"/>
        </w:rPr>
        <w:t>9</w:t>
      </w:r>
      <w:r w:rsidRPr="00351AE8">
        <w:rPr>
          <w:rFonts w:ascii="Arial" w:hAnsi="Arial" w:cs="Arial"/>
        </w:rPr>
        <w:t xml:space="preserve"> es la que sigue</w:t>
      </w:r>
      <w:r>
        <w:rPr>
          <w:rFonts w:ascii="Arial" w:hAnsi="Arial" w:cs="Arial"/>
        </w:rPr>
        <w:t>:</w:t>
      </w:r>
    </w:p>
    <w:p w14:paraId="3A30FCFA" w14:textId="77777777" w:rsidR="00983D5E" w:rsidRDefault="00983D5E" w:rsidP="00983D5E">
      <w:pPr>
        <w:spacing w:line="276" w:lineRule="auto"/>
        <w:jc w:val="both"/>
        <w:rPr>
          <w:rFonts w:ascii="Arial" w:hAnsi="Arial" w:cs="Arial"/>
        </w:rPr>
      </w:pPr>
    </w:p>
    <w:p w14:paraId="0465E56E" w14:textId="77777777" w:rsidR="00FC5C8A" w:rsidRPr="00882D83" w:rsidRDefault="003E5F65" w:rsidP="00882D83">
      <w:pPr>
        <w:spacing w:line="360" w:lineRule="auto"/>
        <w:jc w:val="center"/>
        <w:rPr>
          <w:rFonts w:ascii="Arial Narrow" w:hAnsi="Arial Narrow"/>
          <w:sz w:val="22"/>
          <w:szCs w:val="22"/>
          <w:lang w:val="es-ES"/>
        </w:rPr>
      </w:pPr>
      <w:r w:rsidRPr="003E5F65">
        <w:rPr>
          <w:noProof/>
          <w:lang w:val="es-ES"/>
        </w:rPr>
        <w:drawing>
          <wp:inline distT="0" distB="0" distL="0" distR="0" wp14:anchorId="30735257" wp14:editId="532A9551">
            <wp:extent cx="4450715" cy="5702935"/>
            <wp:effectExtent l="0" t="0" r="698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50715" cy="5702935"/>
                    </a:xfrm>
                    <a:prstGeom prst="rect">
                      <a:avLst/>
                    </a:prstGeom>
                    <a:noFill/>
                    <a:ln>
                      <a:noFill/>
                    </a:ln>
                  </pic:spPr>
                </pic:pic>
              </a:graphicData>
            </a:graphic>
          </wp:inline>
        </w:drawing>
      </w:r>
    </w:p>
    <w:p w14:paraId="541F61EF" w14:textId="77777777" w:rsidR="009B0B40" w:rsidRPr="008938A1" w:rsidRDefault="009B0B40" w:rsidP="00852006">
      <w:pPr>
        <w:spacing w:before="200" w:line="276" w:lineRule="auto"/>
        <w:jc w:val="both"/>
        <w:rPr>
          <w:rFonts w:ascii="Arial" w:hAnsi="Arial" w:cs="Arial"/>
        </w:rPr>
      </w:pPr>
      <w:r w:rsidRPr="0037464E">
        <w:rPr>
          <w:rFonts w:ascii="Arial" w:hAnsi="Arial" w:cs="Arial"/>
        </w:rPr>
        <w:t xml:space="preserve">De los avales recibidos en otros ejercicios, la Sociedad ha procedido a devolver avales por importe de </w:t>
      </w:r>
      <w:r w:rsidR="00FC5C8A">
        <w:rPr>
          <w:rFonts w:ascii="Arial" w:hAnsi="Arial" w:cs="Arial"/>
        </w:rPr>
        <w:t>75.611,37</w:t>
      </w:r>
      <w:r w:rsidRPr="0037464E">
        <w:rPr>
          <w:rFonts w:ascii="Arial" w:hAnsi="Arial" w:cs="Arial"/>
        </w:rPr>
        <w:t xml:space="preserve"> euros. El detalle es el que sigue:</w:t>
      </w:r>
    </w:p>
    <w:p w14:paraId="52FCF7C6" w14:textId="77777777" w:rsidR="009B0B40" w:rsidRPr="00FC5C8A" w:rsidRDefault="003E5F65" w:rsidP="00852006">
      <w:pPr>
        <w:spacing w:before="200" w:line="276" w:lineRule="auto"/>
        <w:jc w:val="center"/>
        <w:rPr>
          <w:rFonts w:ascii="Arial" w:hAnsi="Arial"/>
        </w:rPr>
      </w:pPr>
      <w:r w:rsidRPr="003E5F65">
        <w:rPr>
          <w:noProof/>
          <w:lang w:val="es-ES"/>
        </w:rPr>
        <w:drawing>
          <wp:inline distT="0" distB="0" distL="0" distR="0" wp14:anchorId="23AF29BB" wp14:editId="11E0B497">
            <wp:extent cx="3699885" cy="1748854"/>
            <wp:effectExtent l="0" t="0" r="0" b="381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00120" cy="1748965"/>
                    </a:xfrm>
                    <a:prstGeom prst="rect">
                      <a:avLst/>
                    </a:prstGeom>
                    <a:noFill/>
                    <a:ln>
                      <a:noFill/>
                    </a:ln>
                  </pic:spPr>
                </pic:pic>
              </a:graphicData>
            </a:graphic>
          </wp:inline>
        </w:drawing>
      </w:r>
    </w:p>
    <w:p w14:paraId="4DBA3AA0" w14:textId="77777777" w:rsidR="009B0B40" w:rsidRPr="0013770B" w:rsidRDefault="009B0B40" w:rsidP="00852006">
      <w:pPr>
        <w:pStyle w:val="Ttulo1"/>
        <w:spacing w:before="200" w:line="276" w:lineRule="auto"/>
        <w:rPr>
          <w:rFonts w:ascii="EurostileT" w:hAnsi="EurostileT"/>
          <w:color w:val="005BA6"/>
          <w:sz w:val="28"/>
          <w:szCs w:val="28"/>
        </w:rPr>
      </w:pPr>
      <w:bookmarkStart w:id="14" w:name="_Toc350855621"/>
      <w:r w:rsidRPr="0013770B">
        <w:rPr>
          <w:rFonts w:ascii="EurostileT" w:hAnsi="EurostileT"/>
          <w:color w:val="005BA6"/>
          <w:sz w:val="28"/>
          <w:szCs w:val="28"/>
        </w:rPr>
        <w:t>12. EXISTENCIAS</w:t>
      </w:r>
      <w:bookmarkEnd w:id="14"/>
    </w:p>
    <w:p w14:paraId="7C67E1D7" w14:textId="77777777" w:rsidR="009B0B40" w:rsidRDefault="009B0B40" w:rsidP="00852006">
      <w:pPr>
        <w:spacing w:before="200" w:line="276" w:lineRule="auto"/>
        <w:jc w:val="both"/>
        <w:rPr>
          <w:rFonts w:ascii="Arial" w:hAnsi="Arial" w:cs="Arial"/>
        </w:rPr>
      </w:pPr>
      <w:r>
        <w:rPr>
          <w:rFonts w:ascii="Arial" w:hAnsi="Arial" w:cs="Arial"/>
        </w:rPr>
        <w:t>Tal y como se indica en el punto 4.4 del presente documento, las existencias de la Sociedad, se valoran con criterios técnicos aplicándose la minoración correspondiente en previsión de bajas, pérdidas, etc. El valor que se refleja en las cuentas anuales no excede de su valor de mercado.</w:t>
      </w:r>
    </w:p>
    <w:p w14:paraId="384FED84" w14:textId="77777777" w:rsidR="009B0B40" w:rsidRDefault="009B0B40" w:rsidP="00852006">
      <w:pPr>
        <w:spacing w:before="200" w:line="276" w:lineRule="auto"/>
        <w:jc w:val="both"/>
        <w:rPr>
          <w:rFonts w:ascii="Arial" w:hAnsi="Arial" w:cs="Arial"/>
        </w:rPr>
      </w:pPr>
      <w:r>
        <w:rPr>
          <w:rFonts w:ascii="Arial" w:hAnsi="Arial" w:cs="Arial"/>
        </w:rPr>
        <w:t xml:space="preserve">Para una mejor información comparativa, mostramos el saldo existente al cierre de los ejercicios </w:t>
      </w:r>
      <w:r w:rsidR="005763BA">
        <w:rPr>
          <w:rFonts w:ascii="Arial" w:hAnsi="Arial" w:cs="Arial"/>
        </w:rPr>
        <w:t>201</w:t>
      </w:r>
      <w:r w:rsidR="00FC5C8A">
        <w:rPr>
          <w:rFonts w:ascii="Arial" w:hAnsi="Arial" w:cs="Arial"/>
        </w:rPr>
        <w:t>9</w:t>
      </w:r>
      <w:r w:rsidR="005763BA">
        <w:rPr>
          <w:rFonts w:ascii="Arial" w:hAnsi="Arial" w:cs="Arial"/>
        </w:rPr>
        <w:t xml:space="preserve"> y 201</w:t>
      </w:r>
      <w:r w:rsidR="00FC5C8A">
        <w:rPr>
          <w:rFonts w:ascii="Arial" w:hAnsi="Arial" w:cs="Arial"/>
        </w:rPr>
        <w:t>8</w:t>
      </w:r>
    </w:p>
    <w:p w14:paraId="6D57B6E5" w14:textId="77777777" w:rsidR="009B0B40" w:rsidRDefault="003E5F65" w:rsidP="00852006">
      <w:pPr>
        <w:spacing w:before="200" w:line="276" w:lineRule="auto"/>
        <w:jc w:val="center"/>
        <w:rPr>
          <w:rFonts w:ascii="Arial" w:hAnsi="Arial" w:cs="Arial"/>
        </w:rPr>
      </w:pPr>
      <w:r w:rsidRPr="003E5F65">
        <w:rPr>
          <w:noProof/>
          <w:lang w:val="es-ES"/>
        </w:rPr>
        <w:drawing>
          <wp:inline distT="0" distB="0" distL="0" distR="0" wp14:anchorId="747CCD88" wp14:editId="72E5E1F3">
            <wp:extent cx="3377465" cy="713916"/>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79614" cy="714370"/>
                    </a:xfrm>
                    <a:prstGeom prst="rect">
                      <a:avLst/>
                    </a:prstGeom>
                    <a:noFill/>
                    <a:ln>
                      <a:noFill/>
                    </a:ln>
                  </pic:spPr>
                </pic:pic>
              </a:graphicData>
            </a:graphic>
          </wp:inline>
        </w:drawing>
      </w:r>
    </w:p>
    <w:p w14:paraId="59105624" w14:textId="77777777" w:rsidR="009B0B40" w:rsidRDefault="009B0B40" w:rsidP="00852006">
      <w:pPr>
        <w:spacing w:before="200" w:line="276" w:lineRule="auto"/>
        <w:jc w:val="both"/>
        <w:rPr>
          <w:rFonts w:ascii="Arial" w:hAnsi="Arial" w:cs="Arial"/>
        </w:rPr>
      </w:pPr>
      <w:r>
        <w:rPr>
          <w:rFonts w:ascii="Arial" w:hAnsi="Arial" w:cs="Arial"/>
        </w:rPr>
        <w:t>Asimismo, en el siguiente cuadro se refleja la variación de existencias y su efecto en la cuenta de pérdidas y ganancias.</w:t>
      </w:r>
    </w:p>
    <w:p w14:paraId="62C59318" w14:textId="77777777" w:rsidR="009B0B40" w:rsidRDefault="003E5F65" w:rsidP="00852006">
      <w:pPr>
        <w:spacing w:before="200" w:line="276" w:lineRule="auto"/>
        <w:jc w:val="center"/>
        <w:rPr>
          <w:rFonts w:ascii="Arial" w:hAnsi="Arial" w:cs="Arial"/>
        </w:rPr>
      </w:pPr>
      <w:r w:rsidRPr="003E5F65">
        <w:rPr>
          <w:noProof/>
          <w:lang w:val="es-ES"/>
        </w:rPr>
        <w:drawing>
          <wp:inline distT="0" distB="0" distL="0" distR="0" wp14:anchorId="781A17BE" wp14:editId="1C0DC697">
            <wp:extent cx="2335686" cy="1051824"/>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46208" cy="1056562"/>
                    </a:xfrm>
                    <a:prstGeom prst="rect">
                      <a:avLst/>
                    </a:prstGeom>
                    <a:noFill/>
                    <a:ln>
                      <a:noFill/>
                    </a:ln>
                  </pic:spPr>
                </pic:pic>
              </a:graphicData>
            </a:graphic>
          </wp:inline>
        </w:drawing>
      </w:r>
    </w:p>
    <w:p w14:paraId="50A8EEC3" w14:textId="77777777" w:rsidR="005348AF" w:rsidRDefault="005348AF" w:rsidP="00852006">
      <w:pPr>
        <w:spacing w:before="200" w:line="276" w:lineRule="auto"/>
        <w:jc w:val="center"/>
        <w:rPr>
          <w:rFonts w:ascii="Arial" w:hAnsi="Arial" w:cs="Arial"/>
        </w:rPr>
      </w:pPr>
    </w:p>
    <w:p w14:paraId="7BDC9005" w14:textId="77777777" w:rsidR="009B0B40" w:rsidRPr="0013770B" w:rsidRDefault="009B0B40" w:rsidP="00852006">
      <w:pPr>
        <w:pStyle w:val="Ttulo1"/>
        <w:spacing w:before="200" w:line="276" w:lineRule="auto"/>
        <w:rPr>
          <w:rFonts w:ascii="EurostileT" w:hAnsi="EurostileT"/>
          <w:color w:val="005BA6"/>
          <w:sz w:val="28"/>
          <w:szCs w:val="28"/>
        </w:rPr>
      </w:pPr>
      <w:bookmarkStart w:id="15" w:name="_Toc350855622"/>
      <w:r w:rsidRPr="0013770B">
        <w:rPr>
          <w:rFonts w:ascii="EurostileT" w:hAnsi="EurostileT"/>
          <w:color w:val="005BA6"/>
          <w:sz w:val="28"/>
          <w:szCs w:val="28"/>
        </w:rPr>
        <w:t>13. SITUACIÓN FISCAL</w:t>
      </w:r>
      <w:bookmarkEnd w:id="15"/>
    </w:p>
    <w:p w14:paraId="578E0035" w14:textId="77777777" w:rsidR="009B0B40" w:rsidRPr="007F4F2A" w:rsidRDefault="009B0B40" w:rsidP="00852006">
      <w:pPr>
        <w:pStyle w:val="Ttulo2"/>
        <w:spacing w:before="200" w:line="276" w:lineRule="auto"/>
        <w:ind w:left="0" w:firstLine="0"/>
      </w:pPr>
      <w:r>
        <w:t>13</w:t>
      </w:r>
      <w:r w:rsidRPr="007F4F2A">
        <w:t>.</w:t>
      </w:r>
      <w:r>
        <w:t>1</w:t>
      </w:r>
      <w:r w:rsidRPr="007F4F2A">
        <w:t xml:space="preserve">. </w:t>
      </w:r>
      <w:r>
        <w:t>Conciliación entre resultado fiscal y contable</w:t>
      </w:r>
    </w:p>
    <w:p w14:paraId="7DAADCC6" w14:textId="77777777" w:rsidR="009B0B40" w:rsidRDefault="009B0B40" w:rsidP="00852006">
      <w:pPr>
        <w:spacing w:before="200" w:line="276" w:lineRule="auto"/>
        <w:jc w:val="both"/>
        <w:rPr>
          <w:rFonts w:ascii="Arial" w:hAnsi="Arial" w:cs="Arial"/>
        </w:rPr>
      </w:pPr>
      <w:r w:rsidRPr="00375C36">
        <w:rPr>
          <w:rFonts w:ascii="Arial" w:hAnsi="Arial" w:cs="Arial"/>
        </w:rPr>
        <w:t>Los ingresos y gastos imputados directamente en el Patrimonio Neto, se desglosan de la siguiente forma:</w:t>
      </w:r>
    </w:p>
    <w:p w14:paraId="1EE48ADF" w14:textId="77777777" w:rsidR="009B0B40" w:rsidRPr="00BA2236" w:rsidRDefault="003E5F65" w:rsidP="00852006">
      <w:pPr>
        <w:spacing w:before="200" w:line="276" w:lineRule="auto"/>
        <w:jc w:val="center"/>
        <w:rPr>
          <w:rFonts w:ascii="Arial" w:hAnsi="Arial" w:cs="Arial"/>
        </w:rPr>
      </w:pPr>
      <w:r w:rsidRPr="003E5F65">
        <w:rPr>
          <w:noProof/>
          <w:lang w:val="es-ES"/>
        </w:rPr>
        <w:drawing>
          <wp:inline distT="0" distB="0" distL="0" distR="0" wp14:anchorId="57885E5A" wp14:editId="2598982F">
            <wp:extent cx="4223154" cy="929206"/>
            <wp:effectExtent l="0" t="0" r="635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24679" cy="929542"/>
                    </a:xfrm>
                    <a:prstGeom prst="rect">
                      <a:avLst/>
                    </a:prstGeom>
                    <a:noFill/>
                    <a:ln>
                      <a:noFill/>
                    </a:ln>
                  </pic:spPr>
                </pic:pic>
              </a:graphicData>
            </a:graphic>
          </wp:inline>
        </w:drawing>
      </w:r>
    </w:p>
    <w:p w14:paraId="40B05910" w14:textId="77777777" w:rsidR="009B0B40" w:rsidRDefault="009B0B40" w:rsidP="00852006">
      <w:pPr>
        <w:spacing w:before="200" w:line="276" w:lineRule="auto"/>
        <w:jc w:val="both"/>
        <w:rPr>
          <w:rFonts w:ascii="Arial" w:hAnsi="Arial" w:cs="Arial"/>
        </w:rPr>
      </w:pPr>
      <w:r w:rsidRPr="00375C36">
        <w:rPr>
          <w:rFonts w:ascii="Arial" w:hAnsi="Arial" w:cs="Arial"/>
        </w:rPr>
        <w:t xml:space="preserve">La Sociedad, aplicando el principio de prudencia considera que existen dudas razonables para la obtención de beneficios en ejercicios posteriores por lo que no procede al reconocimiento de un activo por impuesto diferido por las bases imponibles negativas pendientes de compensar en ejercicios posteriores que ascienden a un total de </w:t>
      </w:r>
      <w:r w:rsidR="005348AF">
        <w:rPr>
          <w:rFonts w:ascii="Arial" w:hAnsi="Arial" w:cs="Arial"/>
        </w:rPr>
        <w:t>12.569.160,85</w:t>
      </w:r>
      <w:r w:rsidRPr="00375C36">
        <w:rPr>
          <w:rFonts w:ascii="Arial" w:hAnsi="Arial" w:cs="Arial"/>
        </w:rPr>
        <w:t xml:space="preserve"> euros en 201</w:t>
      </w:r>
      <w:r w:rsidR="005348AF">
        <w:rPr>
          <w:rFonts w:ascii="Arial" w:hAnsi="Arial" w:cs="Arial"/>
        </w:rPr>
        <w:t>9</w:t>
      </w:r>
      <w:r w:rsidRPr="00375C36">
        <w:rPr>
          <w:rFonts w:ascii="Arial" w:hAnsi="Arial" w:cs="Arial"/>
        </w:rPr>
        <w:t xml:space="preserve"> y a un importe de </w:t>
      </w:r>
      <w:r w:rsidR="005348AF">
        <w:rPr>
          <w:rFonts w:ascii="Arial" w:hAnsi="Arial" w:cs="Arial"/>
        </w:rPr>
        <w:t>12.338.124,17</w:t>
      </w:r>
      <w:r w:rsidRPr="00375C36">
        <w:rPr>
          <w:rFonts w:ascii="Arial" w:hAnsi="Arial" w:cs="Arial"/>
        </w:rPr>
        <w:t xml:space="preserve"> en 201</w:t>
      </w:r>
      <w:r w:rsidR="005348AF">
        <w:rPr>
          <w:rFonts w:ascii="Arial" w:hAnsi="Arial" w:cs="Arial"/>
        </w:rPr>
        <w:t>8</w:t>
      </w:r>
      <w:r w:rsidRPr="00375C36">
        <w:rPr>
          <w:rFonts w:ascii="Arial" w:hAnsi="Arial" w:cs="Arial"/>
        </w:rPr>
        <w:t>.</w:t>
      </w:r>
    </w:p>
    <w:p w14:paraId="4855A2AA" w14:textId="77777777" w:rsidR="009B0B40" w:rsidRPr="009F356A" w:rsidRDefault="009B0B40" w:rsidP="00852006">
      <w:pPr>
        <w:spacing w:before="200" w:line="276" w:lineRule="auto"/>
        <w:jc w:val="both"/>
        <w:rPr>
          <w:rFonts w:ascii="Arial" w:hAnsi="Arial" w:cs="Arial"/>
        </w:rPr>
      </w:pPr>
      <w:r w:rsidRPr="009F356A">
        <w:rPr>
          <w:rFonts w:ascii="Arial" w:hAnsi="Arial" w:cs="Arial"/>
        </w:rPr>
        <w:t>La base imponible generada en el ejercicio 201</w:t>
      </w:r>
      <w:r w:rsidR="005348AF">
        <w:rPr>
          <w:rFonts w:ascii="Arial" w:hAnsi="Arial" w:cs="Arial"/>
        </w:rPr>
        <w:t>9</w:t>
      </w:r>
      <w:r w:rsidRPr="009F356A">
        <w:rPr>
          <w:rFonts w:ascii="Arial" w:hAnsi="Arial" w:cs="Arial"/>
        </w:rPr>
        <w:t xml:space="preserve"> como neto entre las adiciones y el traspaso de resultado de las subvenciones en capital así como el efecto fiscal de éstos asciende a la cantidad de </w:t>
      </w:r>
      <w:r w:rsidR="005348AF">
        <w:rPr>
          <w:rFonts w:ascii="Arial" w:hAnsi="Arial" w:cs="Arial"/>
        </w:rPr>
        <w:t>149.449,23</w:t>
      </w:r>
      <w:r w:rsidRPr="009F356A">
        <w:rPr>
          <w:rFonts w:ascii="Arial" w:hAnsi="Arial" w:cs="Arial"/>
        </w:rPr>
        <w:t xml:space="preserve"> euros. Dicho importe ascendía en 201</w:t>
      </w:r>
      <w:r w:rsidR="005348AF">
        <w:rPr>
          <w:rFonts w:ascii="Arial" w:hAnsi="Arial" w:cs="Arial"/>
        </w:rPr>
        <w:t>8</w:t>
      </w:r>
      <w:r w:rsidRPr="009F356A">
        <w:rPr>
          <w:rFonts w:ascii="Arial" w:hAnsi="Arial" w:cs="Arial"/>
        </w:rPr>
        <w:t xml:space="preserve"> a </w:t>
      </w:r>
      <w:r w:rsidR="005348AF">
        <w:rPr>
          <w:rFonts w:ascii="Arial" w:hAnsi="Arial" w:cs="Arial"/>
        </w:rPr>
        <w:t>217.228,93</w:t>
      </w:r>
      <w:r w:rsidRPr="009F356A">
        <w:rPr>
          <w:rFonts w:ascii="Arial" w:hAnsi="Arial" w:cs="Arial"/>
        </w:rPr>
        <w:t xml:space="preserve"> euros. El desglose de este importe es el que sigue:</w:t>
      </w:r>
    </w:p>
    <w:p w14:paraId="184E2429" w14:textId="77777777" w:rsidR="009B0B40" w:rsidRPr="009F356A" w:rsidRDefault="003E5F65" w:rsidP="00852006">
      <w:pPr>
        <w:spacing w:before="200" w:line="276" w:lineRule="auto"/>
        <w:jc w:val="center"/>
        <w:rPr>
          <w:rFonts w:ascii="Arial" w:hAnsi="Arial" w:cs="Arial"/>
        </w:rPr>
      </w:pPr>
      <w:r w:rsidRPr="003E5F65">
        <w:rPr>
          <w:noProof/>
          <w:lang w:val="es-ES"/>
        </w:rPr>
        <w:drawing>
          <wp:inline distT="0" distB="0" distL="0" distR="0" wp14:anchorId="6A1315B8" wp14:editId="79351B17">
            <wp:extent cx="4355293" cy="1590799"/>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55405" cy="1590840"/>
                    </a:xfrm>
                    <a:prstGeom prst="rect">
                      <a:avLst/>
                    </a:prstGeom>
                    <a:noFill/>
                    <a:ln>
                      <a:noFill/>
                    </a:ln>
                  </pic:spPr>
                </pic:pic>
              </a:graphicData>
            </a:graphic>
          </wp:inline>
        </w:drawing>
      </w:r>
    </w:p>
    <w:p w14:paraId="08CDE88D" w14:textId="77777777" w:rsidR="009B0B40" w:rsidRPr="007F4F2A" w:rsidRDefault="009B0B40" w:rsidP="00852006">
      <w:pPr>
        <w:pStyle w:val="Ttulo2"/>
        <w:spacing w:before="200" w:line="276" w:lineRule="auto"/>
        <w:ind w:left="0" w:firstLine="0"/>
      </w:pPr>
      <w:r>
        <w:t>13</w:t>
      </w:r>
      <w:r w:rsidRPr="007F4F2A">
        <w:t>.</w:t>
      </w:r>
      <w:r>
        <w:t>2</w:t>
      </w:r>
      <w:r w:rsidRPr="007F4F2A">
        <w:t xml:space="preserve">. </w:t>
      </w:r>
      <w:r>
        <w:t>Situación</w:t>
      </w:r>
    </w:p>
    <w:p w14:paraId="5E5F30C7" w14:textId="77777777" w:rsidR="009B0B40" w:rsidRDefault="009B0B40" w:rsidP="00852006">
      <w:pPr>
        <w:spacing w:before="200" w:line="276" w:lineRule="auto"/>
        <w:jc w:val="both"/>
        <w:rPr>
          <w:rFonts w:ascii="Arial Narrow" w:hAnsi="Arial Narrow"/>
          <w:sz w:val="22"/>
          <w:szCs w:val="22"/>
        </w:rPr>
      </w:pPr>
      <w:r w:rsidRPr="00747EB1">
        <w:rPr>
          <w:rFonts w:ascii="Arial" w:hAnsi="Arial" w:cs="Arial"/>
        </w:rPr>
        <w:t xml:space="preserve">Según las disposiciones legales vigentes, las liquidaciones de impuestos no pueden considerarse definitivas hasta que no han sido inspeccionadas por las autoridades fiscales </w:t>
      </w:r>
      <w:r w:rsidR="00962CBE" w:rsidRPr="00747EB1">
        <w:rPr>
          <w:rFonts w:ascii="Arial" w:hAnsi="Arial" w:cs="Arial"/>
        </w:rPr>
        <w:t>o</w:t>
      </w:r>
      <w:r w:rsidRPr="00747EB1">
        <w:rPr>
          <w:rFonts w:ascii="Arial" w:hAnsi="Arial" w:cs="Arial"/>
        </w:rPr>
        <w:t xml:space="preserve"> haya transcurrido el plazo de prescripción de cuatro años</w:t>
      </w:r>
      <w:r w:rsidRPr="007F4F2A">
        <w:rPr>
          <w:rFonts w:ascii="Arial Narrow" w:hAnsi="Arial Narrow"/>
          <w:sz w:val="22"/>
          <w:szCs w:val="22"/>
        </w:rPr>
        <w:t>.</w:t>
      </w:r>
    </w:p>
    <w:p w14:paraId="04DF2E0B" w14:textId="77777777" w:rsidR="00BC1792" w:rsidRDefault="009B0B40" w:rsidP="00852006">
      <w:pPr>
        <w:spacing w:before="200" w:line="276" w:lineRule="auto"/>
        <w:jc w:val="both"/>
        <w:rPr>
          <w:rFonts w:ascii="Arial" w:hAnsi="Arial" w:cs="Arial"/>
        </w:rPr>
      </w:pPr>
      <w:r w:rsidRPr="00747EB1">
        <w:rPr>
          <w:rFonts w:ascii="Arial" w:hAnsi="Arial" w:cs="Arial"/>
        </w:rPr>
        <w:t>La Sociedad tiene pendientes de inspección todos los impuestos dentro del plazo de prescripción. No obstante, la Dirección de la Sociedad estima que no existen contingencias significativas que pudieran derivarse de la revisión de los años abiertos a inspección.</w:t>
      </w:r>
    </w:p>
    <w:p w14:paraId="00F6171E" w14:textId="77777777" w:rsidR="009B0B40" w:rsidRDefault="009B0B40" w:rsidP="00852006">
      <w:pPr>
        <w:spacing w:before="200" w:line="276" w:lineRule="auto"/>
        <w:jc w:val="both"/>
        <w:rPr>
          <w:rFonts w:ascii="Arial" w:hAnsi="Arial" w:cs="Arial"/>
        </w:rPr>
      </w:pPr>
      <w:r>
        <w:rPr>
          <w:rFonts w:ascii="Arial" w:hAnsi="Arial" w:cs="Arial"/>
        </w:rPr>
        <w:t>A continuación se detalle cuadro resumen con l</w:t>
      </w:r>
      <w:r w:rsidRPr="00747EB1">
        <w:rPr>
          <w:rFonts w:ascii="Arial" w:hAnsi="Arial" w:cs="Arial"/>
        </w:rPr>
        <w:t xml:space="preserve">a composición de las deudas con Administraciones Públicas en relación con materias fiscales y Seguridad Social a 31 de diciembre de </w:t>
      </w:r>
      <w:r w:rsidR="00C0190D">
        <w:rPr>
          <w:rFonts w:ascii="Arial" w:hAnsi="Arial" w:cs="Arial"/>
        </w:rPr>
        <w:t>201</w:t>
      </w:r>
      <w:r w:rsidR="005348AF">
        <w:rPr>
          <w:rFonts w:ascii="Arial" w:hAnsi="Arial" w:cs="Arial"/>
        </w:rPr>
        <w:t>9</w:t>
      </w:r>
      <w:r w:rsidR="00BC1792">
        <w:rPr>
          <w:rFonts w:ascii="Arial" w:hAnsi="Arial" w:cs="Arial"/>
        </w:rPr>
        <w:t xml:space="preserve"> y 201</w:t>
      </w:r>
      <w:r w:rsidR="005348AF">
        <w:rPr>
          <w:rFonts w:ascii="Arial" w:hAnsi="Arial" w:cs="Arial"/>
        </w:rPr>
        <w:t>8</w:t>
      </w:r>
      <w:r>
        <w:rPr>
          <w:rFonts w:ascii="Arial" w:hAnsi="Arial" w:cs="Arial"/>
        </w:rPr>
        <w:t xml:space="preserve">. </w:t>
      </w:r>
    </w:p>
    <w:p w14:paraId="7BE1996F" w14:textId="77777777" w:rsidR="009B0B40" w:rsidRPr="00747EB1" w:rsidRDefault="003E5F65" w:rsidP="000258AC">
      <w:pPr>
        <w:spacing w:before="200" w:line="276" w:lineRule="auto"/>
        <w:jc w:val="center"/>
        <w:rPr>
          <w:rFonts w:ascii="Arial" w:hAnsi="Arial" w:cs="Arial"/>
        </w:rPr>
      </w:pPr>
      <w:r w:rsidRPr="003E5F65">
        <w:rPr>
          <w:noProof/>
          <w:lang w:val="es-ES"/>
        </w:rPr>
        <w:drawing>
          <wp:inline distT="0" distB="0" distL="0" distR="0" wp14:anchorId="055D4D1A" wp14:editId="676388C7">
            <wp:extent cx="4540286" cy="833863"/>
            <wp:effectExtent l="0" t="0" r="0" b="444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40546" cy="833911"/>
                    </a:xfrm>
                    <a:prstGeom prst="rect">
                      <a:avLst/>
                    </a:prstGeom>
                    <a:noFill/>
                    <a:ln>
                      <a:noFill/>
                    </a:ln>
                  </pic:spPr>
                </pic:pic>
              </a:graphicData>
            </a:graphic>
          </wp:inline>
        </w:drawing>
      </w:r>
    </w:p>
    <w:p w14:paraId="18C838BB" w14:textId="77777777" w:rsidR="00C0190D" w:rsidRDefault="00C0190D" w:rsidP="00852006">
      <w:pPr>
        <w:spacing w:before="200" w:line="276" w:lineRule="auto"/>
        <w:jc w:val="both"/>
        <w:rPr>
          <w:rFonts w:ascii="Arial" w:hAnsi="Arial" w:cs="Arial"/>
        </w:rPr>
      </w:pPr>
    </w:p>
    <w:p w14:paraId="54351142" w14:textId="77777777" w:rsidR="009B0B40" w:rsidRPr="00747EB1" w:rsidRDefault="009B0B40" w:rsidP="00852006">
      <w:pPr>
        <w:spacing w:before="200" w:line="276" w:lineRule="auto"/>
        <w:jc w:val="both"/>
        <w:rPr>
          <w:rFonts w:ascii="Arial" w:hAnsi="Arial" w:cs="Arial"/>
        </w:rPr>
      </w:pPr>
      <w:r w:rsidRPr="00747EB1">
        <w:rPr>
          <w:rFonts w:ascii="Arial" w:hAnsi="Arial" w:cs="Arial"/>
        </w:rPr>
        <w:t>La Sociedad se encuentra al corriente de sus obligaciones fiscales y el saldo anterior corresponde a cantidades declaradas y liquidadas en su plazo correspondiente.</w:t>
      </w:r>
    </w:p>
    <w:p w14:paraId="12E3FB14" w14:textId="77777777" w:rsidR="009B0B40" w:rsidRDefault="009B0B40" w:rsidP="00852006">
      <w:pPr>
        <w:spacing w:before="200" w:line="276" w:lineRule="auto"/>
        <w:jc w:val="both"/>
        <w:rPr>
          <w:rFonts w:ascii="Arial" w:hAnsi="Arial" w:cs="Arial"/>
        </w:rPr>
      </w:pPr>
      <w:r w:rsidRPr="00747EB1">
        <w:rPr>
          <w:rFonts w:ascii="Arial" w:hAnsi="Arial" w:cs="Arial"/>
        </w:rPr>
        <w:t xml:space="preserve">El saldo de Hacienda Pública en </w:t>
      </w:r>
      <w:r w:rsidR="00EE301F">
        <w:rPr>
          <w:rFonts w:ascii="Arial" w:hAnsi="Arial" w:cs="Arial"/>
        </w:rPr>
        <w:t>201</w:t>
      </w:r>
      <w:r w:rsidR="00593540">
        <w:rPr>
          <w:rFonts w:ascii="Arial" w:hAnsi="Arial" w:cs="Arial"/>
        </w:rPr>
        <w:t>9</w:t>
      </w:r>
      <w:r w:rsidR="00EE301F">
        <w:rPr>
          <w:rFonts w:ascii="Arial" w:hAnsi="Arial" w:cs="Arial"/>
        </w:rPr>
        <w:t xml:space="preserve"> y 201</w:t>
      </w:r>
      <w:r w:rsidR="00593540">
        <w:rPr>
          <w:rFonts w:ascii="Arial" w:hAnsi="Arial" w:cs="Arial"/>
        </w:rPr>
        <w:t>8</w:t>
      </w:r>
      <w:r>
        <w:rPr>
          <w:rFonts w:ascii="Arial" w:hAnsi="Arial" w:cs="Arial"/>
        </w:rPr>
        <w:t xml:space="preserve"> </w:t>
      </w:r>
      <w:r w:rsidRPr="00747EB1">
        <w:rPr>
          <w:rFonts w:ascii="Arial" w:hAnsi="Arial" w:cs="Arial"/>
        </w:rPr>
        <w:t xml:space="preserve"> deudor tiene la siguiente composición:</w:t>
      </w:r>
    </w:p>
    <w:p w14:paraId="4F23E989" w14:textId="77777777" w:rsidR="009B0B40" w:rsidRDefault="003E5F65" w:rsidP="00F12C06">
      <w:pPr>
        <w:spacing w:before="200" w:line="276" w:lineRule="auto"/>
        <w:jc w:val="center"/>
      </w:pPr>
      <w:r w:rsidRPr="003E5F65">
        <w:rPr>
          <w:noProof/>
          <w:lang w:val="es-ES"/>
        </w:rPr>
        <w:drawing>
          <wp:inline distT="0" distB="0" distL="0" distR="0" wp14:anchorId="70832C2E" wp14:editId="7342E482">
            <wp:extent cx="4640712" cy="1021081"/>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41820" cy="1021325"/>
                    </a:xfrm>
                    <a:prstGeom prst="rect">
                      <a:avLst/>
                    </a:prstGeom>
                    <a:noFill/>
                    <a:ln>
                      <a:noFill/>
                    </a:ln>
                  </pic:spPr>
                </pic:pic>
              </a:graphicData>
            </a:graphic>
          </wp:inline>
        </w:drawing>
      </w:r>
    </w:p>
    <w:p w14:paraId="2FC2FA3F" w14:textId="77777777" w:rsidR="00507C7C" w:rsidRPr="006B494B" w:rsidRDefault="000B0FE3" w:rsidP="00852006">
      <w:pPr>
        <w:spacing w:before="200" w:line="276" w:lineRule="auto"/>
        <w:jc w:val="both"/>
        <w:rPr>
          <w:rFonts w:ascii="Arial" w:hAnsi="Arial" w:cs="Arial"/>
        </w:rPr>
      </w:pPr>
      <w:r w:rsidRPr="006B494B">
        <w:rPr>
          <w:rFonts w:ascii="Arial" w:hAnsi="Arial" w:cs="Arial"/>
        </w:rPr>
        <w:t xml:space="preserve">De acuerdo a la modificación del artículo 7 apartado 8º del Decreto Foral Legislativo 3/2014 de 23 de diciembre, de Armonización Tributaria, publicada en el Boletín Oficial de Navarra con fecha 22 de enero de 2015 que modifica la Ley Foral 19/1992, de 30 de diciembre, del </w:t>
      </w:r>
      <w:r w:rsidR="00197AEC" w:rsidRPr="006B494B">
        <w:rPr>
          <w:rFonts w:ascii="Arial" w:hAnsi="Arial" w:cs="Arial"/>
        </w:rPr>
        <w:t xml:space="preserve">Impuesto sobre el Valor Añadido, la Sociedad no se </w:t>
      </w:r>
      <w:r w:rsidR="000258AC">
        <w:rPr>
          <w:rFonts w:ascii="Arial" w:hAnsi="Arial" w:cs="Arial"/>
        </w:rPr>
        <w:t>deduce</w:t>
      </w:r>
      <w:r w:rsidR="00197AEC" w:rsidRPr="006B494B">
        <w:rPr>
          <w:rFonts w:ascii="Arial" w:hAnsi="Arial" w:cs="Arial"/>
        </w:rPr>
        <w:t xml:space="preserve"> en proporción alguna las cuotas soportadas o satisfechas por las adquisiciones o servicios destinados exclusivamente a la realización de los trabajos encomendados por la están sujetos a dicho Impuesto los servicios prestados encomendados por la Comunidad Foral de Navarra.</w:t>
      </w:r>
    </w:p>
    <w:p w14:paraId="660715AE" w14:textId="77777777" w:rsidR="00197AEC" w:rsidRPr="006B494B" w:rsidRDefault="00197AEC" w:rsidP="00852006">
      <w:pPr>
        <w:spacing w:before="200" w:line="276" w:lineRule="auto"/>
        <w:jc w:val="both"/>
        <w:rPr>
          <w:rFonts w:ascii="Arial" w:hAnsi="Arial" w:cs="Arial"/>
        </w:rPr>
      </w:pPr>
      <w:r w:rsidRPr="006B494B">
        <w:rPr>
          <w:rFonts w:ascii="Arial" w:hAnsi="Arial" w:cs="Arial"/>
        </w:rPr>
        <w:t xml:space="preserve">Para poder deducirse las cuotas soportadas por la adquisición de bienes y servicios destinados de forma simultánea a </w:t>
      </w:r>
      <w:r w:rsidR="00700C21" w:rsidRPr="006B494B">
        <w:rPr>
          <w:rFonts w:ascii="Arial" w:hAnsi="Arial" w:cs="Arial"/>
        </w:rPr>
        <w:t>la realización de operaciones sujetas y no sujetas al Impuesto, la Sociedad ha establecido un criterio razonable y hom</w:t>
      </w:r>
      <w:r w:rsidR="00EE301F">
        <w:rPr>
          <w:rFonts w:ascii="Arial" w:hAnsi="Arial" w:cs="Arial"/>
        </w:rPr>
        <w:t xml:space="preserve">ogéneo de imputación </w:t>
      </w:r>
      <w:r w:rsidR="00700C21" w:rsidRPr="006B494B">
        <w:rPr>
          <w:rFonts w:ascii="Arial" w:hAnsi="Arial" w:cs="Arial"/>
        </w:rPr>
        <w:t>de las cuotas correspondientes a los bienes y servicios utilizados para el desarrollo de las operaciones sujetas al Impuesto.</w:t>
      </w:r>
    </w:p>
    <w:p w14:paraId="38D7A966" w14:textId="77777777" w:rsidR="00EE301F" w:rsidRDefault="00700C21" w:rsidP="00852006">
      <w:pPr>
        <w:spacing w:before="200" w:line="276" w:lineRule="auto"/>
        <w:jc w:val="both"/>
        <w:rPr>
          <w:rFonts w:ascii="Arial" w:hAnsi="Arial" w:cs="Arial"/>
        </w:rPr>
      </w:pPr>
      <w:r w:rsidRPr="006B494B">
        <w:rPr>
          <w:rFonts w:ascii="Arial" w:hAnsi="Arial" w:cs="Arial"/>
        </w:rPr>
        <w:t>Para el cálculo del porcentaje que la Sociedad no puede deducirse de las cuotas soportadas por la adquisición de bienes y servicios destinados de forma simultánea a la realización de operaciones sujetas y no sujetas, la Sociedad ha tenido en cuenta el volumen total de los trabajos encomendados por el Departamento de Desarrollo Rural, Medio Ambiente y Administración Local y el volumen total de las operaciones con derecho y sin derecho a deducción que fueron presupuestados para el ejercicio 201</w:t>
      </w:r>
      <w:r w:rsidR="003E5F65">
        <w:rPr>
          <w:rFonts w:ascii="Arial" w:hAnsi="Arial" w:cs="Arial"/>
        </w:rPr>
        <w:t>8</w:t>
      </w:r>
      <w:r w:rsidRPr="006B494B">
        <w:rPr>
          <w:rFonts w:ascii="Arial" w:hAnsi="Arial" w:cs="Arial"/>
        </w:rPr>
        <w:t>.</w:t>
      </w:r>
      <w:r>
        <w:rPr>
          <w:rFonts w:ascii="Arial" w:hAnsi="Arial" w:cs="Arial"/>
        </w:rPr>
        <w:t xml:space="preserve"> </w:t>
      </w:r>
    </w:p>
    <w:p w14:paraId="448A8B31" w14:textId="77777777" w:rsidR="009B0B40" w:rsidRPr="0013770B" w:rsidRDefault="009B0B40" w:rsidP="00852006">
      <w:pPr>
        <w:pStyle w:val="Ttulo1"/>
        <w:spacing w:before="200" w:line="276" w:lineRule="auto"/>
        <w:rPr>
          <w:rFonts w:ascii="EurostileT" w:hAnsi="EurostileT"/>
          <w:color w:val="005BA6"/>
          <w:sz w:val="28"/>
          <w:szCs w:val="28"/>
        </w:rPr>
      </w:pPr>
      <w:bookmarkStart w:id="16" w:name="_Toc350855623"/>
      <w:r w:rsidRPr="0013770B">
        <w:rPr>
          <w:rFonts w:ascii="EurostileT" w:hAnsi="EurostileT"/>
          <w:color w:val="005BA6"/>
          <w:sz w:val="28"/>
          <w:szCs w:val="28"/>
        </w:rPr>
        <w:t>14. PERIODIFICACIONES A CORTO Y LARGO PLAZO</w:t>
      </w:r>
      <w:bookmarkEnd w:id="16"/>
    </w:p>
    <w:p w14:paraId="120AA82D" w14:textId="77777777" w:rsidR="009B0B40" w:rsidRPr="00B85DFE" w:rsidRDefault="009B0B40" w:rsidP="00852006">
      <w:pPr>
        <w:spacing w:before="200" w:line="276" w:lineRule="auto"/>
        <w:ind w:right="-1"/>
        <w:jc w:val="both"/>
        <w:rPr>
          <w:rFonts w:ascii="Arial" w:hAnsi="Arial" w:cs="Arial"/>
        </w:rPr>
      </w:pPr>
      <w:r w:rsidRPr="00B85DFE">
        <w:rPr>
          <w:rFonts w:ascii="Arial" w:hAnsi="Arial" w:cs="Arial"/>
        </w:rPr>
        <w:t xml:space="preserve">El importe de los ingresos periodificados a largo plazo asciende a </w:t>
      </w:r>
      <w:r w:rsidR="002A36D3">
        <w:rPr>
          <w:rFonts w:ascii="Arial" w:hAnsi="Arial" w:cs="Arial"/>
        </w:rPr>
        <w:t>5.825.345,13</w:t>
      </w:r>
      <w:r w:rsidR="00142E0A">
        <w:rPr>
          <w:rFonts w:ascii="Arial" w:hAnsi="Arial" w:cs="Arial"/>
        </w:rPr>
        <w:t xml:space="preserve"> euros (</w:t>
      </w:r>
      <w:r w:rsidR="00593540">
        <w:rPr>
          <w:rFonts w:ascii="Arial" w:hAnsi="Arial" w:cs="Arial"/>
        </w:rPr>
        <w:t>6.205.938,21</w:t>
      </w:r>
      <w:r w:rsidRPr="00B85DFE">
        <w:rPr>
          <w:rFonts w:ascii="Arial" w:hAnsi="Arial" w:cs="Arial"/>
        </w:rPr>
        <w:t xml:space="preserve"> euros en 201</w:t>
      </w:r>
      <w:r w:rsidR="00593540">
        <w:rPr>
          <w:rFonts w:ascii="Arial" w:hAnsi="Arial" w:cs="Arial"/>
        </w:rPr>
        <w:t>8</w:t>
      </w:r>
      <w:r w:rsidR="00142E0A">
        <w:rPr>
          <w:rFonts w:ascii="Arial" w:hAnsi="Arial" w:cs="Arial"/>
        </w:rPr>
        <w:t>)</w:t>
      </w:r>
      <w:r w:rsidRPr="00B85DFE">
        <w:rPr>
          <w:rFonts w:ascii="Arial" w:hAnsi="Arial" w:cs="Arial"/>
        </w:rPr>
        <w:t xml:space="preserve">. El importe a corto plazo asciende a </w:t>
      </w:r>
      <w:r w:rsidR="002A36D3">
        <w:rPr>
          <w:rFonts w:ascii="Arial" w:hAnsi="Arial" w:cs="Arial"/>
        </w:rPr>
        <w:t>896.212,01</w:t>
      </w:r>
      <w:r w:rsidRPr="00B85DFE">
        <w:rPr>
          <w:rFonts w:ascii="Arial" w:hAnsi="Arial" w:cs="Arial"/>
        </w:rPr>
        <w:t xml:space="preserve"> euros (en 201</w:t>
      </w:r>
      <w:r w:rsidR="00593540">
        <w:rPr>
          <w:rFonts w:ascii="Arial" w:hAnsi="Arial" w:cs="Arial"/>
        </w:rPr>
        <w:t>8</w:t>
      </w:r>
      <w:r w:rsidRPr="00B85DFE">
        <w:rPr>
          <w:rFonts w:ascii="Arial" w:hAnsi="Arial" w:cs="Arial"/>
        </w:rPr>
        <w:t xml:space="preserve">, </w:t>
      </w:r>
      <w:r w:rsidR="00593540">
        <w:rPr>
          <w:rFonts w:ascii="Arial" w:hAnsi="Arial" w:cs="Arial"/>
        </w:rPr>
        <w:t>813.</w:t>
      </w:r>
      <w:r w:rsidR="002A36D3">
        <w:rPr>
          <w:rFonts w:ascii="Arial" w:hAnsi="Arial" w:cs="Arial"/>
        </w:rPr>
        <w:t>494,51</w:t>
      </w:r>
      <w:r w:rsidRPr="00B85DFE">
        <w:rPr>
          <w:rFonts w:ascii="Arial" w:hAnsi="Arial" w:cs="Arial"/>
        </w:rPr>
        <w:t xml:space="preserve"> euros).</w:t>
      </w:r>
    </w:p>
    <w:p w14:paraId="3DE283DD" w14:textId="77777777" w:rsidR="009B0B40" w:rsidRPr="00B85DFE" w:rsidRDefault="009B0B40" w:rsidP="00852006">
      <w:pPr>
        <w:spacing w:before="200" w:line="276" w:lineRule="auto"/>
        <w:ind w:right="-1"/>
        <w:jc w:val="both"/>
        <w:rPr>
          <w:rFonts w:ascii="Arial" w:hAnsi="Arial" w:cs="Arial"/>
        </w:rPr>
      </w:pPr>
      <w:r w:rsidRPr="00B85DFE">
        <w:rPr>
          <w:rFonts w:ascii="Arial" w:hAnsi="Arial" w:cs="Arial"/>
        </w:rPr>
        <w:t>Tal y como se refleja en el punto 4.8 de la memoria, la Sociedad contabiliza bajo los epígrafes de “Periodificaciones a largo plazo” y Periodificaciones a corto plazo” los ingresos por servicios facturados a la Sociedad Concesionaria de la Zona Regable del Canal de Navarra y a la Sociedad Concesionaria del proyecto de Ampliación de la Zona Regable del Canal de Navarra en función del momento esperado de devengo de dichos ingresos</w:t>
      </w:r>
      <w:r w:rsidR="00D75DC0" w:rsidRPr="00B85DFE">
        <w:rPr>
          <w:rFonts w:ascii="Arial" w:hAnsi="Arial" w:cs="Arial"/>
        </w:rPr>
        <w:t>.</w:t>
      </w:r>
    </w:p>
    <w:p w14:paraId="35E993FF" w14:textId="77777777" w:rsidR="009B0B40" w:rsidRPr="0013770B" w:rsidRDefault="009B0B40" w:rsidP="00852006">
      <w:pPr>
        <w:pStyle w:val="Ttulo1"/>
        <w:spacing w:before="200" w:line="276" w:lineRule="auto"/>
        <w:rPr>
          <w:rFonts w:ascii="EurostileT" w:hAnsi="EurostileT"/>
          <w:color w:val="005BA6"/>
          <w:sz w:val="28"/>
          <w:szCs w:val="28"/>
        </w:rPr>
      </w:pPr>
      <w:bookmarkStart w:id="17" w:name="_Toc350855624"/>
      <w:r w:rsidRPr="0013770B">
        <w:rPr>
          <w:rFonts w:ascii="EurostileT" w:hAnsi="EurostileT"/>
          <w:color w:val="005BA6"/>
          <w:sz w:val="28"/>
          <w:szCs w:val="28"/>
        </w:rPr>
        <w:t>15. INGRESOS Y GASTOS</w:t>
      </w:r>
      <w:bookmarkEnd w:id="17"/>
    </w:p>
    <w:p w14:paraId="5CDF67E4" w14:textId="77777777" w:rsidR="009B0B40" w:rsidRDefault="009B0B40" w:rsidP="00852006">
      <w:pPr>
        <w:spacing w:before="200" w:line="276" w:lineRule="auto"/>
        <w:jc w:val="both"/>
        <w:rPr>
          <w:rFonts w:ascii="Arial" w:hAnsi="Arial" w:cs="Arial"/>
        </w:rPr>
      </w:pPr>
      <w:r>
        <w:rPr>
          <w:rFonts w:ascii="Arial" w:hAnsi="Arial" w:cs="Arial"/>
        </w:rPr>
        <w:t xml:space="preserve">El desglose de la partida 4.a) “Consumos de mercaderías” y 4.b) “Consumo de materias primas y otras materias consumibles”  en </w:t>
      </w:r>
      <w:r w:rsidR="00EE301F">
        <w:rPr>
          <w:rFonts w:ascii="Arial" w:hAnsi="Arial" w:cs="Arial"/>
        </w:rPr>
        <w:t>201</w:t>
      </w:r>
      <w:r w:rsidR="0009714A">
        <w:rPr>
          <w:rFonts w:ascii="Arial" w:hAnsi="Arial" w:cs="Arial"/>
        </w:rPr>
        <w:t>9</w:t>
      </w:r>
      <w:r w:rsidR="00C0190D">
        <w:rPr>
          <w:rFonts w:ascii="Arial" w:hAnsi="Arial" w:cs="Arial"/>
        </w:rPr>
        <w:t xml:space="preserve"> y 201</w:t>
      </w:r>
      <w:r w:rsidR="0009714A">
        <w:rPr>
          <w:rFonts w:ascii="Arial" w:hAnsi="Arial" w:cs="Arial"/>
        </w:rPr>
        <w:t>8</w:t>
      </w:r>
      <w:r>
        <w:rPr>
          <w:rFonts w:ascii="Arial" w:hAnsi="Arial" w:cs="Arial"/>
        </w:rPr>
        <w:t xml:space="preserve"> se detalla en la siguiente tabla:</w:t>
      </w:r>
    </w:p>
    <w:p w14:paraId="01A16FE5" w14:textId="77777777" w:rsidR="009B0B40" w:rsidRDefault="003E5F65" w:rsidP="00B0518B">
      <w:pPr>
        <w:spacing w:before="200" w:line="276" w:lineRule="auto"/>
        <w:jc w:val="center"/>
        <w:rPr>
          <w:rFonts w:ascii="Arial" w:hAnsi="Arial" w:cs="Arial"/>
        </w:rPr>
      </w:pPr>
      <w:r w:rsidRPr="003E5F65">
        <w:rPr>
          <w:noProof/>
          <w:lang w:val="es-ES"/>
        </w:rPr>
        <w:drawing>
          <wp:inline distT="0" distB="0" distL="0" distR="0" wp14:anchorId="68453C8B" wp14:editId="4330A14C">
            <wp:extent cx="4550858" cy="792659"/>
            <wp:effectExtent l="0" t="0" r="2540" b="762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56529" cy="793647"/>
                    </a:xfrm>
                    <a:prstGeom prst="rect">
                      <a:avLst/>
                    </a:prstGeom>
                    <a:noFill/>
                    <a:ln>
                      <a:noFill/>
                    </a:ln>
                  </pic:spPr>
                </pic:pic>
              </a:graphicData>
            </a:graphic>
          </wp:inline>
        </w:drawing>
      </w:r>
    </w:p>
    <w:p w14:paraId="294E6468" w14:textId="77777777" w:rsidR="009B0B40" w:rsidRDefault="009B0B40" w:rsidP="00852006">
      <w:pPr>
        <w:spacing w:before="200" w:line="276" w:lineRule="auto"/>
        <w:jc w:val="both"/>
        <w:rPr>
          <w:rFonts w:ascii="Arial" w:hAnsi="Arial" w:cs="Arial"/>
        </w:rPr>
      </w:pPr>
      <w:r>
        <w:rPr>
          <w:rFonts w:ascii="Arial" w:hAnsi="Arial" w:cs="Arial"/>
        </w:rPr>
        <w:t>Las compras se corresponden íntegramente con compras nacionales.</w:t>
      </w:r>
    </w:p>
    <w:p w14:paraId="3F6EB6CF" w14:textId="77777777" w:rsidR="009B0B40" w:rsidRDefault="009B0B40" w:rsidP="00852006">
      <w:pPr>
        <w:spacing w:before="200" w:line="276" w:lineRule="auto"/>
        <w:jc w:val="both"/>
        <w:rPr>
          <w:rFonts w:ascii="Arial" w:hAnsi="Arial" w:cs="Arial"/>
        </w:rPr>
      </w:pPr>
      <w:r>
        <w:rPr>
          <w:rFonts w:ascii="Arial" w:hAnsi="Arial" w:cs="Arial"/>
        </w:rPr>
        <w:t>El importe de la partida 4.c) “Trabajos realizados por otras empresas” asciende en 201</w:t>
      </w:r>
      <w:r w:rsidR="00BD321F">
        <w:rPr>
          <w:rFonts w:ascii="Arial" w:hAnsi="Arial" w:cs="Arial"/>
        </w:rPr>
        <w:t>9</w:t>
      </w:r>
      <w:r>
        <w:rPr>
          <w:rFonts w:ascii="Arial" w:hAnsi="Arial" w:cs="Arial"/>
        </w:rPr>
        <w:t xml:space="preserve"> a </w:t>
      </w:r>
      <w:r w:rsidR="00BD321F">
        <w:rPr>
          <w:rFonts w:ascii="Arial" w:hAnsi="Arial" w:cs="Arial"/>
        </w:rPr>
        <w:t>249.927,26</w:t>
      </w:r>
      <w:r>
        <w:rPr>
          <w:rFonts w:ascii="Arial" w:hAnsi="Arial" w:cs="Arial"/>
        </w:rPr>
        <w:t xml:space="preserve"> euros. En </w:t>
      </w:r>
      <w:r w:rsidR="00AB5C64">
        <w:rPr>
          <w:rFonts w:ascii="Arial" w:hAnsi="Arial" w:cs="Arial"/>
        </w:rPr>
        <w:t>201</w:t>
      </w:r>
      <w:r w:rsidR="00D4571D">
        <w:rPr>
          <w:rFonts w:ascii="Arial" w:hAnsi="Arial" w:cs="Arial"/>
        </w:rPr>
        <w:t>8</w:t>
      </w:r>
      <w:r>
        <w:rPr>
          <w:rFonts w:ascii="Arial" w:hAnsi="Arial" w:cs="Arial"/>
        </w:rPr>
        <w:t xml:space="preserve"> el importe de esta partida ascendía a </w:t>
      </w:r>
      <w:r w:rsidR="00D4571D">
        <w:rPr>
          <w:rFonts w:ascii="Arial" w:hAnsi="Arial" w:cs="Arial"/>
        </w:rPr>
        <w:t>238.010,59</w:t>
      </w:r>
      <w:r w:rsidR="00B0518B">
        <w:rPr>
          <w:rFonts w:ascii="Arial" w:hAnsi="Arial" w:cs="Arial"/>
        </w:rPr>
        <w:t xml:space="preserve"> </w:t>
      </w:r>
      <w:r>
        <w:rPr>
          <w:rFonts w:ascii="Arial" w:hAnsi="Arial" w:cs="Arial"/>
        </w:rPr>
        <w:t>euros.</w:t>
      </w:r>
    </w:p>
    <w:p w14:paraId="1567FE0D" w14:textId="77777777" w:rsidR="009B0B40" w:rsidRDefault="009B0B40" w:rsidP="00852006">
      <w:pPr>
        <w:spacing w:before="200" w:line="276" w:lineRule="auto"/>
        <w:jc w:val="both"/>
        <w:rPr>
          <w:rFonts w:ascii="Arial" w:hAnsi="Arial" w:cs="Arial"/>
        </w:rPr>
      </w:pPr>
      <w:r w:rsidRPr="008650AB">
        <w:rPr>
          <w:rFonts w:ascii="Arial" w:hAnsi="Arial" w:cs="Arial"/>
        </w:rPr>
        <w:t xml:space="preserve">El desglose de la partida </w:t>
      </w:r>
      <w:r>
        <w:rPr>
          <w:rFonts w:ascii="Arial" w:hAnsi="Arial" w:cs="Arial"/>
        </w:rPr>
        <w:t xml:space="preserve">6.b) </w:t>
      </w:r>
      <w:r w:rsidRPr="008650AB">
        <w:rPr>
          <w:rFonts w:ascii="Arial" w:hAnsi="Arial" w:cs="Arial"/>
        </w:rPr>
        <w:t xml:space="preserve">“Cargas Sociales” que figura en la cuenta de pérdidas y ganancias de </w:t>
      </w:r>
      <w:r w:rsidR="00AB5C64">
        <w:rPr>
          <w:rFonts w:ascii="Arial" w:hAnsi="Arial" w:cs="Arial"/>
        </w:rPr>
        <w:t>201</w:t>
      </w:r>
      <w:r w:rsidR="00BD321F">
        <w:rPr>
          <w:rFonts w:ascii="Arial" w:hAnsi="Arial" w:cs="Arial"/>
        </w:rPr>
        <w:t>9</w:t>
      </w:r>
      <w:r w:rsidR="00AB5C64">
        <w:rPr>
          <w:rFonts w:ascii="Arial" w:hAnsi="Arial" w:cs="Arial"/>
        </w:rPr>
        <w:t xml:space="preserve"> y 201</w:t>
      </w:r>
      <w:r w:rsidR="00BD321F">
        <w:rPr>
          <w:rFonts w:ascii="Arial" w:hAnsi="Arial" w:cs="Arial"/>
        </w:rPr>
        <w:t>8</w:t>
      </w:r>
      <w:r w:rsidRPr="008650AB">
        <w:rPr>
          <w:rFonts w:ascii="Arial" w:hAnsi="Arial" w:cs="Arial"/>
        </w:rPr>
        <w:t xml:space="preserve"> es el siguiente:</w:t>
      </w:r>
    </w:p>
    <w:p w14:paraId="518A0898" w14:textId="77777777" w:rsidR="009B0B40" w:rsidRDefault="003E5F65" w:rsidP="00B0518B">
      <w:pPr>
        <w:spacing w:before="200" w:line="276" w:lineRule="auto"/>
        <w:jc w:val="center"/>
        <w:rPr>
          <w:rFonts w:ascii="Arial" w:hAnsi="Arial" w:cs="Arial"/>
        </w:rPr>
      </w:pPr>
      <w:r w:rsidRPr="003E5F65">
        <w:rPr>
          <w:noProof/>
          <w:lang w:val="es-ES"/>
        </w:rPr>
        <w:drawing>
          <wp:inline distT="0" distB="0" distL="0" distR="0" wp14:anchorId="3BA8C3AA" wp14:editId="54672F8B">
            <wp:extent cx="4661854" cy="811992"/>
            <wp:effectExtent l="0" t="0" r="5715" b="762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8932" cy="813225"/>
                    </a:xfrm>
                    <a:prstGeom prst="rect">
                      <a:avLst/>
                    </a:prstGeom>
                    <a:noFill/>
                    <a:ln>
                      <a:noFill/>
                    </a:ln>
                  </pic:spPr>
                </pic:pic>
              </a:graphicData>
            </a:graphic>
          </wp:inline>
        </w:drawing>
      </w:r>
    </w:p>
    <w:p w14:paraId="3778A12F" w14:textId="77777777" w:rsidR="009B0B40" w:rsidRDefault="009B0B40" w:rsidP="00852006">
      <w:pPr>
        <w:spacing w:before="200" w:line="276" w:lineRule="auto"/>
        <w:jc w:val="both"/>
        <w:rPr>
          <w:rFonts w:ascii="Arial" w:hAnsi="Arial" w:cs="Arial"/>
          <w:snapToGrid w:val="0"/>
        </w:rPr>
      </w:pPr>
      <w:r>
        <w:rPr>
          <w:rFonts w:ascii="Arial" w:hAnsi="Arial" w:cs="Arial"/>
          <w:snapToGrid w:val="0"/>
        </w:rPr>
        <w:t>Los resultados originados fuera de la actividad normal de la empresa incluidos en la partida “Otros resultados” se detallan a continuación:</w:t>
      </w:r>
    </w:p>
    <w:p w14:paraId="29CC6C7B" w14:textId="77777777" w:rsidR="009B0B40" w:rsidRDefault="009B0B40" w:rsidP="00852006">
      <w:pPr>
        <w:spacing w:before="200" w:line="276" w:lineRule="auto"/>
        <w:jc w:val="both"/>
        <w:rPr>
          <w:rFonts w:ascii="Arial" w:hAnsi="Arial" w:cs="Arial"/>
          <w:snapToGrid w:val="0"/>
        </w:rPr>
      </w:pPr>
      <w:r>
        <w:rPr>
          <w:rFonts w:ascii="Arial" w:hAnsi="Arial" w:cs="Arial"/>
          <w:snapToGrid w:val="0"/>
        </w:rPr>
        <w:t>Los ingresos</w:t>
      </w:r>
      <w:r w:rsidR="00AC5BC7">
        <w:rPr>
          <w:rFonts w:ascii="Arial" w:hAnsi="Arial" w:cs="Arial"/>
          <w:snapToGrid w:val="0"/>
        </w:rPr>
        <w:t xml:space="preserve"> excepcionales registrados en 201</w:t>
      </w:r>
      <w:r w:rsidR="00BD321F">
        <w:rPr>
          <w:rFonts w:ascii="Arial" w:hAnsi="Arial" w:cs="Arial"/>
          <w:snapToGrid w:val="0"/>
        </w:rPr>
        <w:t>9</w:t>
      </w:r>
      <w:r>
        <w:rPr>
          <w:rFonts w:ascii="Arial" w:hAnsi="Arial" w:cs="Arial"/>
          <w:snapToGrid w:val="0"/>
        </w:rPr>
        <w:t xml:space="preserve"> corresponden </w:t>
      </w:r>
      <w:r w:rsidR="00AC5BC7">
        <w:rPr>
          <w:rFonts w:ascii="Arial" w:hAnsi="Arial" w:cs="Arial"/>
          <w:snapToGrid w:val="0"/>
        </w:rPr>
        <w:t xml:space="preserve"> al cobro de indemnizaciones de seguros. </w:t>
      </w:r>
      <w:r w:rsidR="00BD321F">
        <w:rPr>
          <w:rFonts w:ascii="Arial" w:hAnsi="Arial" w:cs="Arial"/>
          <w:snapToGrid w:val="0"/>
        </w:rPr>
        <w:t xml:space="preserve">Los gastos extraordinarios corresponden a una reclamación por daños en una parcela interpuesta por un cliente de la Sociedad. </w:t>
      </w:r>
      <w:r w:rsidR="00D610AB">
        <w:rPr>
          <w:rFonts w:ascii="Arial" w:hAnsi="Arial" w:cs="Arial"/>
          <w:snapToGrid w:val="0"/>
        </w:rPr>
        <w:t>En 201</w:t>
      </w:r>
      <w:r w:rsidR="00BD321F">
        <w:rPr>
          <w:rFonts w:ascii="Arial" w:hAnsi="Arial" w:cs="Arial"/>
          <w:snapToGrid w:val="0"/>
        </w:rPr>
        <w:t>8</w:t>
      </w:r>
      <w:r w:rsidR="00D610AB">
        <w:rPr>
          <w:rFonts w:ascii="Arial" w:hAnsi="Arial" w:cs="Arial"/>
          <w:snapToGrid w:val="0"/>
        </w:rPr>
        <w:t xml:space="preserve"> los ingresos corresponden a</w:t>
      </w:r>
      <w:r>
        <w:rPr>
          <w:rFonts w:ascii="Arial" w:hAnsi="Arial" w:cs="Arial"/>
          <w:snapToGrid w:val="0"/>
        </w:rPr>
        <w:t xml:space="preserve"> indemnizaciones de seguros.</w:t>
      </w:r>
    </w:p>
    <w:p w14:paraId="226A6D72" w14:textId="77777777" w:rsidR="009B0B40" w:rsidRDefault="000A1C63" w:rsidP="00852006">
      <w:pPr>
        <w:spacing w:before="200" w:line="276" w:lineRule="auto"/>
        <w:jc w:val="center"/>
        <w:rPr>
          <w:rFonts w:ascii="Arial" w:hAnsi="Arial" w:cs="Arial"/>
          <w:snapToGrid w:val="0"/>
        </w:rPr>
      </w:pPr>
      <w:r w:rsidRPr="000A1C63">
        <w:rPr>
          <w:noProof/>
          <w:lang w:val="es-ES"/>
        </w:rPr>
        <w:drawing>
          <wp:inline distT="0" distB="0" distL="0" distR="0" wp14:anchorId="1597B8B9" wp14:editId="789640C9">
            <wp:extent cx="4498003" cy="628314"/>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42502" cy="634530"/>
                    </a:xfrm>
                    <a:prstGeom prst="rect">
                      <a:avLst/>
                    </a:prstGeom>
                    <a:noFill/>
                    <a:ln>
                      <a:noFill/>
                    </a:ln>
                  </pic:spPr>
                </pic:pic>
              </a:graphicData>
            </a:graphic>
          </wp:inline>
        </w:drawing>
      </w:r>
    </w:p>
    <w:p w14:paraId="67F5822F" w14:textId="77777777" w:rsidR="009B0B40" w:rsidRDefault="009B0B40" w:rsidP="00852006">
      <w:pPr>
        <w:spacing w:before="200" w:line="276" w:lineRule="auto"/>
        <w:jc w:val="both"/>
        <w:rPr>
          <w:rFonts w:ascii="Arial" w:hAnsi="Arial" w:cs="Arial"/>
          <w:snapToGrid w:val="0"/>
        </w:rPr>
      </w:pPr>
      <w:r w:rsidRPr="008650AB">
        <w:rPr>
          <w:rFonts w:ascii="Arial" w:hAnsi="Arial" w:cs="Arial"/>
        </w:rPr>
        <w:t>El desglose de la partida de “Otros gastos de explotación” del modelo de la cuenta de pérdidas y ganancias es el siguiente</w:t>
      </w:r>
      <w:r>
        <w:rPr>
          <w:rFonts w:ascii="Arial" w:hAnsi="Arial" w:cs="Arial"/>
        </w:rPr>
        <w:t>:</w:t>
      </w:r>
    </w:p>
    <w:p w14:paraId="509021C3" w14:textId="77777777" w:rsidR="00BD321F" w:rsidRPr="000A1C63" w:rsidRDefault="000A1C63" w:rsidP="000A1C63">
      <w:pPr>
        <w:spacing w:before="200" w:line="276" w:lineRule="auto"/>
        <w:jc w:val="center"/>
        <w:rPr>
          <w:rFonts w:ascii="Arial" w:hAnsi="Arial" w:cs="Arial"/>
          <w:snapToGrid w:val="0"/>
        </w:rPr>
      </w:pPr>
      <w:r w:rsidRPr="000A1C63">
        <w:rPr>
          <w:noProof/>
          <w:lang w:val="es-ES"/>
        </w:rPr>
        <w:drawing>
          <wp:inline distT="0" distB="0" distL="0" distR="0" wp14:anchorId="374045F9" wp14:editId="37C92B1D">
            <wp:extent cx="4476860" cy="895577"/>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95802" cy="899366"/>
                    </a:xfrm>
                    <a:prstGeom prst="rect">
                      <a:avLst/>
                    </a:prstGeom>
                    <a:noFill/>
                    <a:ln>
                      <a:noFill/>
                    </a:ln>
                  </pic:spPr>
                </pic:pic>
              </a:graphicData>
            </a:graphic>
          </wp:inline>
        </w:drawing>
      </w:r>
    </w:p>
    <w:p w14:paraId="446C03C4" w14:textId="77777777" w:rsidR="009B0B40" w:rsidRDefault="009B0B40" w:rsidP="00852006">
      <w:pPr>
        <w:spacing w:before="200" w:line="276" w:lineRule="auto"/>
        <w:jc w:val="both"/>
        <w:rPr>
          <w:rFonts w:ascii="Arial" w:hAnsi="Arial" w:cs="Arial"/>
        </w:rPr>
      </w:pPr>
      <w:r w:rsidRPr="008650AB">
        <w:rPr>
          <w:rFonts w:ascii="Arial" w:hAnsi="Arial" w:cs="Arial"/>
        </w:rPr>
        <w:t xml:space="preserve">El importe neto de la cifra de negocios asciende a </w:t>
      </w:r>
      <w:r w:rsidR="00BD321F">
        <w:rPr>
          <w:rFonts w:ascii="Arial" w:hAnsi="Arial" w:cs="Arial"/>
        </w:rPr>
        <w:t>6.543.509,68</w:t>
      </w:r>
      <w:r>
        <w:rPr>
          <w:rFonts w:ascii="Arial" w:hAnsi="Arial" w:cs="Arial"/>
        </w:rPr>
        <w:t xml:space="preserve"> euros (</w:t>
      </w:r>
      <w:r w:rsidR="00BD321F">
        <w:rPr>
          <w:rFonts w:ascii="Arial" w:hAnsi="Arial" w:cs="Arial"/>
        </w:rPr>
        <w:t>6.539.651,17</w:t>
      </w:r>
      <w:r w:rsidR="00D340A8">
        <w:rPr>
          <w:rFonts w:ascii="Arial" w:hAnsi="Arial" w:cs="Arial"/>
        </w:rPr>
        <w:t xml:space="preserve"> </w:t>
      </w:r>
      <w:r>
        <w:rPr>
          <w:rFonts w:ascii="Arial" w:hAnsi="Arial" w:cs="Arial"/>
        </w:rPr>
        <w:t>euros en 201</w:t>
      </w:r>
      <w:r w:rsidR="00BD321F">
        <w:rPr>
          <w:rFonts w:ascii="Arial" w:hAnsi="Arial" w:cs="Arial"/>
        </w:rPr>
        <w:t>8</w:t>
      </w:r>
      <w:r>
        <w:rPr>
          <w:rFonts w:ascii="Arial" w:hAnsi="Arial" w:cs="Arial"/>
        </w:rPr>
        <w:t xml:space="preserve">). </w:t>
      </w:r>
      <w:r w:rsidRPr="008650AB">
        <w:rPr>
          <w:rFonts w:ascii="Arial" w:hAnsi="Arial" w:cs="Arial"/>
        </w:rPr>
        <w:t xml:space="preserve">De dicho importe, </w:t>
      </w:r>
      <w:r w:rsidR="00BD321F">
        <w:rPr>
          <w:rFonts w:ascii="Arial" w:hAnsi="Arial" w:cs="Arial"/>
        </w:rPr>
        <w:t>2.050.305,71</w:t>
      </w:r>
      <w:r>
        <w:rPr>
          <w:rFonts w:ascii="Arial" w:hAnsi="Arial" w:cs="Arial"/>
        </w:rPr>
        <w:t xml:space="preserve"> euros</w:t>
      </w:r>
      <w:r w:rsidRPr="008650AB">
        <w:rPr>
          <w:rFonts w:ascii="Arial" w:hAnsi="Arial" w:cs="Arial"/>
        </w:rPr>
        <w:t xml:space="preserve">, es decir el </w:t>
      </w:r>
      <w:r w:rsidR="00BD321F">
        <w:rPr>
          <w:rFonts w:ascii="Arial" w:hAnsi="Arial" w:cs="Arial"/>
        </w:rPr>
        <w:t>31</w:t>
      </w:r>
      <w:r>
        <w:rPr>
          <w:rFonts w:ascii="Arial" w:hAnsi="Arial" w:cs="Arial"/>
        </w:rPr>
        <w:t>% (</w:t>
      </w:r>
      <w:r w:rsidR="00BD321F">
        <w:rPr>
          <w:rFonts w:ascii="Arial" w:hAnsi="Arial" w:cs="Arial"/>
        </w:rPr>
        <w:t>26</w:t>
      </w:r>
      <w:r>
        <w:rPr>
          <w:rFonts w:ascii="Arial" w:hAnsi="Arial" w:cs="Arial"/>
        </w:rPr>
        <w:t>% en 201</w:t>
      </w:r>
      <w:r w:rsidR="00BD321F">
        <w:rPr>
          <w:rFonts w:ascii="Arial" w:hAnsi="Arial" w:cs="Arial"/>
        </w:rPr>
        <w:t>8</w:t>
      </w:r>
      <w:r>
        <w:rPr>
          <w:rFonts w:ascii="Arial" w:hAnsi="Arial" w:cs="Arial"/>
        </w:rPr>
        <w:t>)</w:t>
      </w:r>
      <w:r w:rsidRPr="008650AB">
        <w:rPr>
          <w:rFonts w:ascii="Arial" w:hAnsi="Arial" w:cs="Arial"/>
        </w:rPr>
        <w:t xml:space="preserve"> corresponden a trabajos realizados por la Sociedad encomendados por Gobierno de Navarra. El resto del porcentaje corresponde principalmente a ingresos obtenidos en la prestación de servicios </w:t>
      </w:r>
      <w:r>
        <w:rPr>
          <w:rFonts w:ascii="Arial" w:hAnsi="Arial" w:cs="Arial"/>
        </w:rPr>
        <w:t>a terceros.</w:t>
      </w:r>
    </w:p>
    <w:p w14:paraId="7ED94C71" w14:textId="77777777" w:rsidR="009B0B40" w:rsidRPr="00F11A38" w:rsidRDefault="009B0B40" w:rsidP="00852006">
      <w:pPr>
        <w:tabs>
          <w:tab w:val="center" w:pos="4320"/>
        </w:tabs>
        <w:spacing w:before="200" w:line="276" w:lineRule="auto"/>
        <w:jc w:val="both"/>
        <w:rPr>
          <w:rFonts w:ascii="Arial" w:hAnsi="Arial" w:cs="Arial"/>
        </w:rPr>
      </w:pPr>
      <w:r w:rsidRPr="00F11A38">
        <w:rPr>
          <w:rFonts w:ascii="Arial" w:hAnsi="Arial" w:cs="Arial"/>
        </w:rPr>
        <w:t xml:space="preserve">La Sociedad </w:t>
      </w:r>
      <w:r>
        <w:rPr>
          <w:rFonts w:ascii="Arial" w:hAnsi="Arial" w:cs="Arial"/>
        </w:rPr>
        <w:t>contabilizada</w:t>
      </w:r>
      <w:r w:rsidRPr="00F11A38">
        <w:rPr>
          <w:rFonts w:ascii="Arial" w:hAnsi="Arial" w:cs="Arial"/>
        </w:rPr>
        <w:t xml:space="preserve"> como ingreso las transferencias recibidas de la Administración de la </w:t>
      </w:r>
      <w:r>
        <w:rPr>
          <w:rFonts w:ascii="Arial" w:hAnsi="Arial" w:cs="Arial"/>
        </w:rPr>
        <w:t>Comunidad Foral.</w:t>
      </w:r>
    </w:p>
    <w:p w14:paraId="71568DDF" w14:textId="77777777" w:rsidR="009B0B40" w:rsidRDefault="009B0B40" w:rsidP="00852006">
      <w:pPr>
        <w:tabs>
          <w:tab w:val="center" w:pos="4320"/>
        </w:tabs>
        <w:spacing w:before="200" w:line="276" w:lineRule="auto"/>
        <w:jc w:val="both"/>
        <w:rPr>
          <w:rFonts w:ascii="Arial" w:hAnsi="Arial" w:cs="Arial"/>
        </w:rPr>
      </w:pPr>
      <w:r w:rsidRPr="00F11A38">
        <w:rPr>
          <w:rFonts w:ascii="Arial" w:hAnsi="Arial" w:cs="Arial"/>
        </w:rPr>
        <w:t>El Departamento de Desarrollo Rural</w:t>
      </w:r>
      <w:r>
        <w:rPr>
          <w:rFonts w:ascii="Arial" w:hAnsi="Arial" w:cs="Arial"/>
        </w:rPr>
        <w:t>, Industria, Empleo y Medio Ambiente</w:t>
      </w:r>
      <w:r w:rsidRPr="00F11A38">
        <w:rPr>
          <w:rFonts w:ascii="Arial" w:hAnsi="Arial" w:cs="Arial"/>
        </w:rPr>
        <w:t xml:space="preserve"> considera que estas actuaciones son de interés general y las financia para que </w:t>
      </w:r>
      <w:r>
        <w:rPr>
          <w:rFonts w:ascii="Arial" w:hAnsi="Arial" w:cs="Arial"/>
        </w:rPr>
        <w:t>INTIA</w:t>
      </w:r>
      <w:r w:rsidRPr="00F11A38">
        <w:rPr>
          <w:rFonts w:ascii="Arial" w:hAnsi="Arial" w:cs="Arial"/>
        </w:rPr>
        <w:t>, S.A. pueda desarrollarlas, por lo que la cantidad que figura en los Presupuestos Generales de Navarra bajo la denominación “Transferencias corrientes.” tiene la consideración de subvención finalista para el desarrollo de las citadas actividades.</w:t>
      </w:r>
      <w:r>
        <w:rPr>
          <w:rFonts w:ascii="Arial" w:hAnsi="Arial" w:cs="Arial"/>
        </w:rPr>
        <w:t xml:space="preserve"> El importe que figura en la cuenta de pérdidas y ganancias en 201</w:t>
      </w:r>
      <w:r w:rsidR="00BD321F">
        <w:rPr>
          <w:rFonts w:ascii="Arial" w:hAnsi="Arial" w:cs="Arial"/>
        </w:rPr>
        <w:t>9</w:t>
      </w:r>
      <w:r>
        <w:rPr>
          <w:rFonts w:ascii="Arial" w:hAnsi="Arial" w:cs="Arial"/>
        </w:rPr>
        <w:t xml:space="preserve"> asciende a </w:t>
      </w:r>
      <w:r w:rsidR="00A945F0">
        <w:rPr>
          <w:rFonts w:ascii="Arial" w:hAnsi="Arial" w:cs="Arial"/>
        </w:rPr>
        <w:t>5.732.093,32</w:t>
      </w:r>
      <w:r w:rsidR="00F6082D">
        <w:rPr>
          <w:rFonts w:ascii="Arial" w:hAnsi="Arial" w:cs="Arial"/>
        </w:rPr>
        <w:t xml:space="preserve"> euros. En 201</w:t>
      </w:r>
      <w:r w:rsidR="00BD321F">
        <w:rPr>
          <w:rFonts w:ascii="Arial" w:hAnsi="Arial" w:cs="Arial"/>
        </w:rPr>
        <w:t>8</w:t>
      </w:r>
      <w:r>
        <w:rPr>
          <w:rFonts w:ascii="Arial" w:hAnsi="Arial" w:cs="Arial"/>
        </w:rPr>
        <w:t xml:space="preserve"> la Sociedad recibió subvenciones de explotación por importe de </w:t>
      </w:r>
      <w:r w:rsidR="00BD321F">
        <w:rPr>
          <w:rFonts w:ascii="Arial" w:hAnsi="Arial" w:cs="Arial"/>
        </w:rPr>
        <w:t>5.608.536,13</w:t>
      </w:r>
      <w:r>
        <w:rPr>
          <w:rFonts w:ascii="Arial" w:hAnsi="Arial" w:cs="Arial"/>
        </w:rPr>
        <w:t xml:space="preserve"> euros</w:t>
      </w:r>
    </w:p>
    <w:p w14:paraId="208DA9E9" w14:textId="77777777" w:rsidR="009B0B40" w:rsidRDefault="009B0B40" w:rsidP="00852006">
      <w:pPr>
        <w:tabs>
          <w:tab w:val="center" w:pos="4320"/>
        </w:tabs>
        <w:spacing w:before="200" w:line="276" w:lineRule="auto"/>
        <w:jc w:val="both"/>
        <w:rPr>
          <w:rFonts w:ascii="Arial" w:hAnsi="Arial" w:cs="Arial"/>
        </w:rPr>
      </w:pPr>
      <w:r w:rsidRPr="00902ADC">
        <w:rPr>
          <w:rFonts w:ascii="Arial" w:hAnsi="Arial" w:cs="Arial"/>
        </w:rPr>
        <w:t xml:space="preserve">Los gastos e ingresos financieros del ejercicio en </w:t>
      </w:r>
      <w:r w:rsidR="00D537C5" w:rsidRPr="00902ADC">
        <w:rPr>
          <w:rFonts w:ascii="Arial" w:hAnsi="Arial" w:cs="Arial"/>
        </w:rPr>
        <w:t>201</w:t>
      </w:r>
      <w:r w:rsidR="00A945F0">
        <w:rPr>
          <w:rFonts w:ascii="Arial" w:hAnsi="Arial" w:cs="Arial"/>
        </w:rPr>
        <w:t>9</w:t>
      </w:r>
      <w:r w:rsidR="00D537C5" w:rsidRPr="00902ADC">
        <w:rPr>
          <w:rFonts w:ascii="Arial" w:hAnsi="Arial" w:cs="Arial"/>
        </w:rPr>
        <w:t xml:space="preserve"> y 201</w:t>
      </w:r>
      <w:r w:rsidR="00A945F0">
        <w:rPr>
          <w:rFonts w:ascii="Arial" w:hAnsi="Arial" w:cs="Arial"/>
        </w:rPr>
        <w:t>8</w:t>
      </w:r>
      <w:r w:rsidRPr="00902ADC">
        <w:rPr>
          <w:rFonts w:ascii="Arial" w:hAnsi="Arial" w:cs="Arial"/>
        </w:rPr>
        <w:t xml:space="preserve">  se detallan en el siguiente cuadro:</w:t>
      </w:r>
    </w:p>
    <w:p w14:paraId="75BC19E5" w14:textId="77777777" w:rsidR="00000ADB" w:rsidRPr="00902ADC" w:rsidRDefault="000A1C63" w:rsidP="00000ADB">
      <w:pPr>
        <w:tabs>
          <w:tab w:val="center" w:pos="4320"/>
        </w:tabs>
        <w:spacing w:before="200" w:line="276" w:lineRule="auto"/>
        <w:jc w:val="center"/>
        <w:rPr>
          <w:rFonts w:ascii="Arial" w:hAnsi="Arial" w:cs="Arial"/>
        </w:rPr>
      </w:pPr>
      <w:r w:rsidRPr="000A1C63">
        <w:rPr>
          <w:noProof/>
          <w:lang w:val="es-ES"/>
        </w:rPr>
        <w:drawing>
          <wp:inline distT="0" distB="0" distL="0" distR="0" wp14:anchorId="3B87C037" wp14:editId="61E5DF29">
            <wp:extent cx="4207297" cy="1167672"/>
            <wp:effectExtent l="0" t="0" r="317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205902" cy="1167285"/>
                    </a:xfrm>
                    <a:prstGeom prst="rect">
                      <a:avLst/>
                    </a:prstGeom>
                    <a:noFill/>
                    <a:ln>
                      <a:noFill/>
                    </a:ln>
                  </pic:spPr>
                </pic:pic>
              </a:graphicData>
            </a:graphic>
          </wp:inline>
        </w:drawing>
      </w:r>
    </w:p>
    <w:p w14:paraId="4C3A669E" w14:textId="77777777" w:rsidR="001B0A18" w:rsidRDefault="001B0A18" w:rsidP="00852006">
      <w:pPr>
        <w:spacing w:before="200" w:line="276" w:lineRule="auto"/>
        <w:jc w:val="both"/>
        <w:rPr>
          <w:rFonts w:ascii="Arial" w:hAnsi="Arial" w:cs="Arial"/>
        </w:rPr>
      </w:pPr>
    </w:p>
    <w:p w14:paraId="777FA21F" w14:textId="77777777" w:rsidR="000A1C63" w:rsidRDefault="000A1C63" w:rsidP="00852006">
      <w:pPr>
        <w:spacing w:before="200" w:line="276" w:lineRule="auto"/>
        <w:jc w:val="both"/>
        <w:rPr>
          <w:rFonts w:ascii="Arial" w:hAnsi="Arial" w:cs="Arial"/>
        </w:rPr>
      </w:pPr>
    </w:p>
    <w:p w14:paraId="767B8096" w14:textId="77777777" w:rsidR="000A1C63" w:rsidRPr="008650AB" w:rsidRDefault="000A1C63" w:rsidP="00852006">
      <w:pPr>
        <w:spacing w:before="200" w:line="276" w:lineRule="auto"/>
        <w:jc w:val="both"/>
        <w:rPr>
          <w:rFonts w:ascii="Arial" w:hAnsi="Arial" w:cs="Arial"/>
        </w:rPr>
      </w:pPr>
    </w:p>
    <w:p w14:paraId="7B00E81C" w14:textId="77777777" w:rsidR="001B0A18" w:rsidRPr="0013770B" w:rsidRDefault="009B0B40" w:rsidP="001B0A18">
      <w:pPr>
        <w:pStyle w:val="Ttulo1"/>
        <w:spacing w:before="200" w:line="276" w:lineRule="auto"/>
        <w:rPr>
          <w:rFonts w:ascii="EurostileT" w:hAnsi="EurostileT"/>
          <w:color w:val="005BA6"/>
          <w:sz w:val="28"/>
          <w:szCs w:val="28"/>
        </w:rPr>
      </w:pPr>
      <w:bookmarkStart w:id="18" w:name="_Toc350855625"/>
      <w:r w:rsidRPr="0013770B">
        <w:rPr>
          <w:rFonts w:ascii="EurostileT" w:hAnsi="EurostileT"/>
          <w:color w:val="005BA6"/>
          <w:sz w:val="28"/>
          <w:szCs w:val="28"/>
        </w:rPr>
        <w:t>16. PROVISIONES Y CONTINGENCIAS</w:t>
      </w:r>
      <w:bookmarkEnd w:id="18"/>
    </w:p>
    <w:p w14:paraId="6CD5707B" w14:textId="77777777" w:rsidR="00241663" w:rsidRDefault="00241663" w:rsidP="00852006">
      <w:pPr>
        <w:spacing w:before="200" w:line="276" w:lineRule="auto"/>
        <w:jc w:val="both"/>
        <w:rPr>
          <w:rFonts w:ascii="Arial" w:hAnsi="Arial" w:cs="Arial"/>
        </w:rPr>
      </w:pPr>
      <w:r>
        <w:rPr>
          <w:rFonts w:ascii="Arial" w:hAnsi="Arial" w:cs="Arial"/>
        </w:rPr>
        <w:t>Al cierre del ejercicio 201</w:t>
      </w:r>
      <w:r w:rsidR="00A945F0">
        <w:rPr>
          <w:rFonts w:ascii="Arial" w:hAnsi="Arial" w:cs="Arial"/>
        </w:rPr>
        <w:t>9</w:t>
      </w:r>
      <w:r>
        <w:rPr>
          <w:rFonts w:ascii="Arial" w:hAnsi="Arial" w:cs="Arial"/>
        </w:rPr>
        <w:t xml:space="preserve"> la Sociedad no tiene registrada ninguna provisión.</w:t>
      </w:r>
    </w:p>
    <w:p w14:paraId="534917B1" w14:textId="77777777" w:rsidR="000F7736" w:rsidRDefault="000F7736">
      <w:pPr>
        <w:rPr>
          <w:rFonts w:ascii="Arial" w:hAnsi="Arial" w:cs="Arial"/>
        </w:rPr>
      </w:pPr>
    </w:p>
    <w:p w14:paraId="361EC8A1" w14:textId="77777777" w:rsidR="009B0B40" w:rsidRPr="0013770B" w:rsidRDefault="000F7736" w:rsidP="00852006">
      <w:pPr>
        <w:pStyle w:val="Ttulo1"/>
        <w:spacing w:before="200" w:line="276" w:lineRule="auto"/>
        <w:rPr>
          <w:rFonts w:ascii="EurostileT" w:hAnsi="EurostileT"/>
          <w:color w:val="005BA6"/>
          <w:sz w:val="28"/>
          <w:szCs w:val="28"/>
        </w:rPr>
      </w:pPr>
      <w:bookmarkStart w:id="19" w:name="_Toc350855626"/>
      <w:r>
        <w:rPr>
          <w:rFonts w:ascii="EurostileT" w:hAnsi="EurostileT"/>
          <w:color w:val="005BA6"/>
          <w:sz w:val="28"/>
          <w:szCs w:val="28"/>
        </w:rPr>
        <w:t>1</w:t>
      </w:r>
      <w:r w:rsidR="009B0B40" w:rsidRPr="0013770B">
        <w:rPr>
          <w:rFonts w:ascii="EurostileT" w:hAnsi="EurostileT"/>
          <w:color w:val="005BA6"/>
          <w:sz w:val="28"/>
          <w:szCs w:val="28"/>
        </w:rPr>
        <w:t>7. INFORMACION SOBRE MEDIO AMBIENTE</w:t>
      </w:r>
      <w:bookmarkEnd w:id="19"/>
    </w:p>
    <w:p w14:paraId="56038E78" w14:textId="77777777" w:rsidR="000E5A5B" w:rsidRPr="00241663" w:rsidRDefault="009B0B40" w:rsidP="00852006">
      <w:pPr>
        <w:spacing w:before="200" w:line="276" w:lineRule="auto"/>
        <w:jc w:val="both"/>
        <w:rPr>
          <w:rFonts w:ascii="Arial" w:hAnsi="Arial" w:cs="Arial"/>
        </w:rPr>
      </w:pPr>
      <w:r w:rsidRPr="00241663">
        <w:rPr>
          <w:rFonts w:ascii="Arial" w:hAnsi="Arial" w:cs="Arial"/>
        </w:rPr>
        <w:t xml:space="preserve">La Sociedad ha adoptado las medidas pertinentes en temas medioambientales con el objetivo de cumplir con la legislación vigente al respecto. Tal </w:t>
      </w:r>
      <w:r w:rsidR="00C941D8" w:rsidRPr="00241663">
        <w:rPr>
          <w:rFonts w:ascii="Arial" w:hAnsi="Arial" w:cs="Arial"/>
        </w:rPr>
        <w:t xml:space="preserve">y como se menciona en la Nota </w:t>
      </w:r>
      <w:r w:rsidR="00775508" w:rsidRPr="00241663">
        <w:rPr>
          <w:rFonts w:ascii="Arial" w:hAnsi="Arial" w:cs="Arial"/>
        </w:rPr>
        <w:t>1</w:t>
      </w:r>
      <w:r w:rsidRPr="00241663">
        <w:rPr>
          <w:rFonts w:ascii="Arial" w:hAnsi="Arial" w:cs="Arial"/>
        </w:rPr>
        <w:t xml:space="preserve"> como consecuencia de su objeto social desarrolla sus actividades en relación directa con la mejora y conservación del Medio Ambiente.</w:t>
      </w:r>
    </w:p>
    <w:p w14:paraId="617D8475" w14:textId="77777777" w:rsidR="009B0B40" w:rsidRPr="00241663" w:rsidRDefault="009B0B40" w:rsidP="00852006">
      <w:pPr>
        <w:pStyle w:val="Sangradetextonormal"/>
        <w:widowControl/>
        <w:spacing w:before="200" w:line="276" w:lineRule="auto"/>
        <w:ind w:firstLine="0"/>
        <w:rPr>
          <w:rFonts w:ascii="Arial" w:hAnsi="Arial" w:cs="Arial"/>
          <w:lang w:val="es-ES"/>
        </w:rPr>
      </w:pPr>
      <w:r w:rsidRPr="00241663">
        <w:rPr>
          <w:rFonts w:ascii="Arial" w:hAnsi="Arial" w:cs="Arial"/>
          <w:lang w:val="es-ES"/>
        </w:rPr>
        <w:t>Durante el ejercicio 201</w:t>
      </w:r>
      <w:r w:rsidR="00A945F0">
        <w:rPr>
          <w:rFonts w:ascii="Arial" w:hAnsi="Arial" w:cs="Arial"/>
          <w:lang w:val="es-ES"/>
        </w:rPr>
        <w:t>9</w:t>
      </w:r>
      <w:r w:rsidRPr="00241663">
        <w:rPr>
          <w:rFonts w:ascii="Arial" w:hAnsi="Arial" w:cs="Arial"/>
          <w:lang w:val="es-ES"/>
        </w:rPr>
        <w:t xml:space="preserve"> no se han realizado inversiones o incurrido en gastos en relación con aspectos medioambientales distintos de los incurridos en la realización normal de su actividad empresarial. </w:t>
      </w:r>
    </w:p>
    <w:p w14:paraId="274F67CE" w14:textId="77777777" w:rsidR="00ED5DD5" w:rsidRPr="00241663" w:rsidRDefault="009B0B40" w:rsidP="00852006">
      <w:pPr>
        <w:pStyle w:val="Textoindependiente"/>
        <w:widowControl/>
        <w:tabs>
          <w:tab w:val="clear" w:pos="720"/>
          <w:tab w:val="clear" w:pos="4320"/>
        </w:tabs>
        <w:spacing w:before="200" w:line="276" w:lineRule="auto"/>
        <w:rPr>
          <w:rFonts w:ascii="Arial" w:hAnsi="Arial" w:cs="Arial"/>
          <w:lang w:val="es-ES"/>
        </w:rPr>
      </w:pPr>
      <w:r w:rsidRPr="00241663">
        <w:rPr>
          <w:rFonts w:ascii="Arial" w:hAnsi="Arial" w:cs="Arial"/>
          <w:lang w:val="es-ES"/>
        </w:rPr>
        <w:t>La Sociedad no estima que existan riesgos relacionados con la protección y mejora del medioambiente y no ha recibido subvenciones por este concepto durante 201</w:t>
      </w:r>
      <w:r w:rsidR="00A945F0">
        <w:rPr>
          <w:rFonts w:ascii="Arial" w:hAnsi="Arial" w:cs="Arial"/>
          <w:lang w:val="es-ES"/>
        </w:rPr>
        <w:t>9</w:t>
      </w:r>
      <w:r w:rsidRPr="00241663">
        <w:rPr>
          <w:rFonts w:ascii="Arial" w:hAnsi="Arial" w:cs="Arial"/>
          <w:lang w:val="es-ES"/>
        </w:rPr>
        <w:t xml:space="preserve">. </w:t>
      </w:r>
    </w:p>
    <w:p w14:paraId="2C4E0182" w14:textId="77777777" w:rsidR="009B0B40" w:rsidRPr="0013770B" w:rsidRDefault="009B0B40" w:rsidP="00852006">
      <w:pPr>
        <w:pStyle w:val="Ttulo1"/>
        <w:spacing w:before="200" w:line="276" w:lineRule="auto"/>
        <w:rPr>
          <w:rFonts w:ascii="EurostileT" w:hAnsi="EurostileT"/>
          <w:color w:val="005BA6"/>
          <w:sz w:val="28"/>
          <w:szCs w:val="28"/>
        </w:rPr>
      </w:pPr>
      <w:bookmarkStart w:id="20" w:name="_Toc350855627"/>
      <w:r w:rsidRPr="0013770B">
        <w:rPr>
          <w:rFonts w:ascii="EurostileT" w:hAnsi="EurostileT"/>
          <w:color w:val="005BA6"/>
          <w:sz w:val="28"/>
          <w:szCs w:val="28"/>
        </w:rPr>
        <w:t>18. SUBVENCIONES, DONACIONES Y LEGADOS</w:t>
      </w:r>
      <w:bookmarkEnd w:id="20"/>
    </w:p>
    <w:p w14:paraId="479CB07E" w14:textId="77777777" w:rsidR="00CB7D82" w:rsidRDefault="009B0B40" w:rsidP="00852006">
      <w:pPr>
        <w:spacing w:before="200" w:line="276" w:lineRule="auto"/>
        <w:jc w:val="both"/>
        <w:rPr>
          <w:rFonts w:ascii="Arial" w:hAnsi="Arial" w:cs="Arial"/>
        </w:rPr>
      </w:pPr>
      <w:r w:rsidRPr="00E52B7A">
        <w:rPr>
          <w:rFonts w:ascii="Arial" w:hAnsi="Arial" w:cs="Arial"/>
        </w:rPr>
        <w:t xml:space="preserve">La Sociedad ha contabilizado </w:t>
      </w:r>
      <w:r>
        <w:rPr>
          <w:rFonts w:ascii="Arial" w:hAnsi="Arial" w:cs="Arial"/>
        </w:rPr>
        <w:t>como ingreso del ejercicio 201</w:t>
      </w:r>
      <w:r w:rsidR="00A945F0">
        <w:rPr>
          <w:rFonts w:ascii="Arial" w:hAnsi="Arial" w:cs="Arial"/>
        </w:rPr>
        <w:t>9</w:t>
      </w:r>
      <w:r w:rsidRPr="00E52B7A">
        <w:rPr>
          <w:rFonts w:ascii="Arial" w:hAnsi="Arial" w:cs="Arial"/>
        </w:rPr>
        <w:t>, las subvenciones recibidas de la Administración de la Comunidad Foral y otros Organismos Públicos para la realización de determinadas actividades en el ámbito de su objeto social.</w:t>
      </w:r>
      <w:r>
        <w:rPr>
          <w:rFonts w:ascii="Arial" w:hAnsi="Arial" w:cs="Arial"/>
        </w:rPr>
        <w:t xml:space="preserve"> Para una mejor comparación de la información, mostramos los datos de </w:t>
      </w:r>
      <w:r w:rsidR="00D25E11">
        <w:rPr>
          <w:rFonts w:ascii="Arial" w:hAnsi="Arial" w:cs="Arial"/>
        </w:rPr>
        <w:t>201</w:t>
      </w:r>
      <w:r w:rsidR="00A945F0">
        <w:rPr>
          <w:rFonts w:ascii="Arial" w:hAnsi="Arial" w:cs="Arial"/>
        </w:rPr>
        <w:t>9</w:t>
      </w:r>
      <w:r w:rsidR="00D25E11">
        <w:rPr>
          <w:rFonts w:ascii="Arial" w:hAnsi="Arial" w:cs="Arial"/>
        </w:rPr>
        <w:t xml:space="preserve"> y 201</w:t>
      </w:r>
      <w:r w:rsidR="00A945F0">
        <w:rPr>
          <w:rFonts w:ascii="Arial" w:hAnsi="Arial" w:cs="Arial"/>
        </w:rPr>
        <w:t>8</w:t>
      </w:r>
      <w:r w:rsidR="00241663">
        <w:rPr>
          <w:rFonts w:ascii="Arial" w:hAnsi="Arial" w:cs="Arial"/>
        </w:rPr>
        <w:t>.</w:t>
      </w:r>
    </w:p>
    <w:p w14:paraId="612BAA90" w14:textId="77777777" w:rsidR="009B0B40" w:rsidRDefault="009B0B40" w:rsidP="00852006">
      <w:pPr>
        <w:spacing w:before="200" w:line="276" w:lineRule="auto"/>
        <w:jc w:val="both"/>
        <w:rPr>
          <w:rFonts w:ascii="Arial" w:hAnsi="Arial" w:cs="Arial"/>
        </w:rPr>
      </w:pPr>
      <w:r w:rsidRPr="00E52B7A">
        <w:rPr>
          <w:rFonts w:ascii="Arial" w:hAnsi="Arial" w:cs="Arial"/>
        </w:rPr>
        <w:t>El Departamento de Desarrollo Rural considera que estas actuaciones son de interés general y las financia para que la Sociedad</w:t>
      </w:r>
      <w:r>
        <w:rPr>
          <w:rFonts w:ascii="Arial" w:hAnsi="Arial" w:cs="Arial"/>
        </w:rPr>
        <w:t xml:space="preserve"> </w:t>
      </w:r>
      <w:r w:rsidRPr="00E52B7A">
        <w:rPr>
          <w:rFonts w:ascii="Arial" w:hAnsi="Arial" w:cs="Arial"/>
        </w:rPr>
        <w:t>pueda desarrollarlas, por lo que la cantidad que figura en los Presupuestos Generales de Navarra bajo la denominación “Transferencias corrientes.” tiene la consideración de subvención finalista para el desarrollo de las citadas actividades. El desglose de las citadas subvenciones es el siguiente:</w:t>
      </w:r>
    </w:p>
    <w:p w14:paraId="633B3984" w14:textId="77777777" w:rsidR="009B0B40" w:rsidRPr="00546D3F" w:rsidRDefault="000A1C63" w:rsidP="00D75DC0">
      <w:pPr>
        <w:spacing w:before="200" w:line="276" w:lineRule="auto"/>
        <w:jc w:val="center"/>
        <w:rPr>
          <w:rFonts w:ascii="Arial" w:hAnsi="Arial" w:cs="Arial"/>
        </w:rPr>
      </w:pPr>
      <w:r w:rsidRPr="000A1C63">
        <w:rPr>
          <w:noProof/>
          <w:lang w:val="es-ES"/>
        </w:rPr>
        <w:drawing>
          <wp:inline distT="0" distB="0" distL="0" distR="0" wp14:anchorId="4AAF1849" wp14:editId="3A43940B">
            <wp:extent cx="3203043" cy="1374074"/>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03317" cy="1374191"/>
                    </a:xfrm>
                    <a:prstGeom prst="rect">
                      <a:avLst/>
                    </a:prstGeom>
                    <a:noFill/>
                    <a:ln>
                      <a:noFill/>
                    </a:ln>
                  </pic:spPr>
                </pic:pic>
              </a:graphicData>
            </a:graphic>
          </wp:inline>
        </w:drawing>
      </w:r>
    </w:p>
    <w:p w14:paraId="721A69AC" w14:textId="77777777" w:rsidR="00241663" w:rsidRDefault="00241663" w:rsidP="00852006">
      <w:pPr>
        <w:spacing w:before="200" w:line="276" w:lineRule="auto"/>
        <w:jc w:val="both"/>
        <w:rPr>
          <w:rFonts w:ascii="Arial" w:hAnsi="Arial" w:cs="Arial"/>
        </w:rPr>
      </w:pPr>
    </w:p>
    <w:p w14:paraId="7A54DAD3" w14:textId="77777777" w:rsidR="009B0B40" w:rsidRDefault="009B0B40" w:rsidP="00852006">
      <w:pPr>
        <w:spacing w:before="200" w:line="276" w:lineRule="auto"/>
        <w:jc w:val="both"/>
        <w:rPr>
          <w:rFonts w:ascii="Arial" w:hAnsi="Arial" w:cs="Arial"/>
        </w:rPr>
      </w:pPr>
      <w:r w:rsidRPr="00E52B7A">
        <w:rPr>
          <w:rFonts w:ascii="Arial" w:hAnsi="Arial" w:cs="Arial"/>
        </w:rPr>
        <w:t>En el epígrafe “A-3)  Subvenciones, donaciones y legados recibidos” del Patrimonio Neto, se recogen las subvenciones de capital recibidas en éste ejercicio y en ejercicios anteriores, su detalle es el siguiente:</w:t>
      </w:r>
    </w:p>
    <w:p w14:paraId="245BCDDC" w14:textId="77777777" w:rsidR="000E5091" w:rsidRDefault="000E5091" w:rsidP="00852006">
      <w:pPr>
        <w:spacing w:before="200" w:line="276" w:lineRule="auto"/>
        <w:jc w:val="both"/>
        <w:rPr>
          <w:rFonts w:ascii="Arial" w:hAnsi="Arial" w:cs="Arial"/>
        </w:rPr>
      </w:pPr>
    </w:p>
    <w:p w14:paraId="70F5387A" w14:textId="77777777" w:rsidR="002128C6" w:rsidRDefault="002128C6" w:rsidP="00852006">
      <w:pPr>
        <w:spacing w:before="200" w:line="276" w:lineRule="auto"/>
        <w:jc w:val="both"/>
        <w:rPr>
          <w:rFonts w:ascii="Arial" w:hAnsi="Arial" w:cs="Arial"/>
        </w:rPr>
      </w:pPr>
    </w:p>
    <w:p w14:paraId="0A848C12" w14:textId="77777777" w:rsidR="000A1C63" w:rsidRDefault="000A1C63" w:rsidP="00852006">
      <w:pPr>
        <w:spacing w:before="200" w:line="276" w:lineRule="auto"/>
        <w:jc w:val="both"/>
        <w:rPr>
          <w:rFonts w:ascii="Arial" w:hAnsi="Arial" w:cs="Arial"/>
        </w:rPr>
      </w:pPr>
    </w:p>
    <w:p w14:paraId="19FE49CF" w14:textId="77777777" w:rsidR="00D01F97" w:rsidRPr="00501250" w:rsidRDefault="009B0B40" w:rsidP="00983D5E">
      <w:pPr>
        <w:spacing w:before="200" w:line="276" w:lineRule="auto"/>
        <w:jc w:val="both"/>
        <w:rPr>
          <w:rFonts w:ascii="Arial" w:hAnsi="Arial" w:cs="Arial"/>
          <w:b/>
        </w:rPr>
      </w:pPr>
      <w:r w:rsidRPr="00501250">
        <w:rPr>
          <w:rFonts w:ascii="Arial" w:hAnsi="Arial" w:cs="Arial"/>
          <w:b/>
        </w:rPr>
        <w:t>Proveniente de la sociedad absorbida, Instituto Técnico y de Gestión Agrícola</w:t>
      </w:r>
      <w:r>
        <w:rPr>
          <w:rFonts w:ascii="Arial" w:hAnsi="Arial" w:cs="Arial"/>
          <w:b/>
        </w:rPr>
        <w:t>, S.A.U.:</w:t>
      </w:r>
    </w:p>
    <w:p w14:paraId="4B6257AD" w14:textId="77777777" w:rsidR="009B0B40" w:rsidRPr="000A1C63" w:rsidRDefault="000A1C63" w:rsidP="00852006">
      <w:pPr>
        <w:spacing w:before="200" w:line="276" w:lineRule="auto"/>
        <w:jc w:val="center"/>
        <w:rPr>
          <w:rFonts w:ascii="Arial" w:hAnsi="Arial" w:cs="Arial"/>
        </w:rPr>
      </w:pPr>
      <w:r w:rsidRPr="000A1C63">
        <w:rPr>
          <w:noProof/>
          <w:lang w:val="es-ES"/>
        </w:rPr>
        <w:drawing>
          <wp:inline distT="0" distB="0" distL="0" distR="0" wp14:anchorId="4D933693" wp14:editId="23A1714F">
            <wp:extent cx="3562460" cy="895921"/>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63311" cy="896135"/>
                    </a:xfrm>
                    <a:prstGeom prst="rect">
                      <a:avLst/>
                    </a:prstGeom>
                    <a:noFill/>
                    <a:ln>
                      <a:noFill/>
                    </a:ln>
                  </pic:spPr>
                </pic:pic>
              </a:graphicData>
            </a:graphic>
          </wp:inline>
        </w:drawing>
      </w:r>
    </w:p>
    <w:p w14:paraId="16CA5AA5" w14:textId="77777777" w:rsidR="009B0B40" w:rsidRPr="008938A1" w:rsidRDefault="009B0B40" w:rsidP="00D75DC0">
      <w:pPr>
        <w:numPr>
          <w:ilvl w:val="0"/>
          <w:numId w:val="29"/>
        </w:numPr>
        <w:tabs>
          <w:tab w:val="clear" w:pos="927"/>
          <w:tab w:val="num" w:pos="1134"/>
        </w:tabs>
        <w:ind w:left="924" w:hanging="73"/>
        <w:jc w:val="both"/>
        <w:rPr>
          <w:rFonts w:ascii="Arial" w:hAnsi="Arial" w:cs="Arial"/>
          <w:sz w:val="16"/>
          <w:szCs w:val="16"/>
        </w:rPr>
      </w:pPr>
      <w:r w:rsidRPr="008938A1">
        <w:rPr>
          <w:rFonts w:ascii="Arial" w:hAnsi="Arial" w:cs="Arial"/>
          <w:sz w:val="16"/>
          <w:szCs w:val="16"/>
        </w:rPr>
        <w:t xml:space="preserve">Adquisición Finca de </w:t>
      </w:r>
      <w:proofErr w:type="spellStart"/>
      <w:r w:rsidRPr="008938A1">
        <w:rPr>
          <w:rFonts w:ascii="Arial" w:hAnsi="Arial" w:cs="Arial"/>
          <w:sz w:val="16"/>
          <w:szCs w:val="16"/>
        </w:rPr>
        <w:t>Cadreita</w:t>
      </w:r>
      <w:proofErr w:type="spellEnd"/>
    </w:p>
    <w:p w14:paraId="6C043AC3" w14:textId="77777777" w:rsidR="001A3D9D" w:rsidRDefault="009B0B40" w:rsidP="00711B09">
      <w:pPr>
        <w:ind w:left="924"/>
        <w:jc w:val="both"/>
        <w:rPr>
          <w:rFonts w:ascii="Arial" w:hAnsi="Arial" w:cs="Arial"/>
        </w:rPr>
      </w:pPr>
      <w:r w:rsidRPr="008938A1">
        <w:rPr>
          <w:rFonts w:ascii="Arial" w:hAnsi="Arial" w:cs="Arial"/>
          <w:sz w:val="16"/>
          <w:szCs w:val="16"/>
        </w:rPr>
        <w:t xml:space="preserve">Adecuación Finca de </w:t>
      </w:r>
      <w:proofErr w:type="spellStart"/>
      <w:r w:rsidRPr="008938A1">
        <w:rPr>
          <w:rFonts w:ascii="Arial" w:hAnsi="Arial" w:cs="Arial"/>
          <w:sz w:val="16"/>
          <w:szCs w:val="16"/>
        </w:rPr>
        <w:t>Cadreita</w:t>
      </w:r>
      <w:proofErr w:type="spellEnd"/>
    </w:p>
    <w:p w14:paraId="794F4E56" w14:textId="77777777" w:rsidR="00CB7D82" w:rsidRDefault="009B0B40" w:rsidP="00852006">
      <w:pPr>
        <w:spacing w:before="200" w:line="276" w:lineRule="auto"/>
        <w:jc w:val="both"/>
        <w:rPr>
          <w:rFonts w:ascii="Arial" w:hAnsi="Arial" w:cs="Arial"/>
        </w:rPr>
      </w:pPr>
      <w:r w:rsidRPr="00501250">
        <w:rPr>
          <w:rFonts w:ascii="Arial" w:hAnsi="Arial" w:cs="Arial"/>
        </w:rPr>
        <w:t xml:space="preserve">En el ejercicio 1998 comenzaron las gestiones para la adquisición y la adecuación de la denominada “Finca de </w:t>
      </w:r>
      <w:proofErr w:type="spellStart"/>
      <w:r w:rsidRPr="00501250">
        <w:rPr>
          <w:rFonts w:ascii="Arial" w:hAnsi="Arial" w:cs="Arial"/>
        </w:rPr>
        <w:t>Cadreita</w:t>
      </w:r>
      <w:proofErr w:type="spellEnd"/>
      <w:r w:rsidRPr="00501250">
        <w:rPr>
          <w:rFonts w:ascii="Arial" w:hAnsi="Arial" w:cs="Arial"/>
        </w:rPr>
        <w:t>”. Para financiar la adquisición, se recibieron subvenciones del Gobierno de Navarra por un impor</w:t>
      </w:r>
      <w:r w:rsidR="0054400D">
        <w:rPr>
          <w:rFonts w:ascii="Arial" w:hAnsi="Arial" w:cs="Arial"/>
        </w:rPr>
        <w:t>te de 587.469,57 euros y 1.492.769,56 euros.</w:t>
      </w:r>
      <w:r w:rsidRPr="00501250">
        <w:rPr>
          <w:rFonts w:ascii="Arial" w:hAnsi="Arial" w:cs="Arial"/>
        </w:rPr>
        <w:t xml:space="preserve"> </w:t>
      </w:r>
    </w:p>
    <w:p w14:paraId="727D310D" w14:textId="77777777" w:rsidR="00C73C4D" w:rsidRPr="004D6724" w:rsidRDefault="00F34F67" w:rsidP="00C73C4D">
      <w:pPr>
        <w:spacing w:before="200" w:line="276" w:lineRule="auto"/>
        <w:jc w:val="both"/>
        <w:rPr>
          <w:rFonts w:ascii="Arial" w:hAnsi="Arial" w:cs="Arial"/>
          <w:b/>
        </w:rPr>
      </w:pPr>
      <w:r>
        <w:rPr>
          <w:rFonts w:ascii="Arial" w:hAnsi="Arial" w:cs="Arial"/>
          <w:b/>
        </w:rPr>
        <w:t>Proveniente de la sociedad resultado de la fusión, INTIA S.A.</w:t>
      </w:r>
    </w:p>
    <w:p w14:paraId="47CFAAA5" w14:textId="0C5EF021" w:rsidR="00BF1383" w:rsidRDefault="00C73C4D" w:rsidP="003B6BDA">
      <w:pPr>
        <w:spacing w:before="200" w:line="276" w:lineRule="auto"/>
        <w:jc w:val="both"/>
        <w:rPr>
          <w:rFonts w:ascii="Arial" w:hAnsi="Arial" w:cs="Arial"/>
        </w:rPr>
      </w:pPr>
      <w:r>
        <w:rPr>
          <w:rFonts w:ascii="Arial" w:hAnsi="Arial" w:cs="Arial"/>
        </w:rPr>
        <w:t>La Sociedad ha recibido</w:t>
      </w:r>
      <w:r w:rsidR="00B27248">
        <w:rPr>
          <w:rFonts w:ascii="Arial" w:hAnsi="Arial" w:cs="Arial"/>
        </w:rPr>
        <w:t xml:space="preserve"> </w:t>
      </w:r>
      <w:r>
        <w:rPr>
          <w:rFonts w:ascii="Arial" w:hAnsi="Arial" w:cs="Arial"/>
        </w:rPr>
        <w:t xml:space="preserve"> en 201</w:t>
      </w:r>
      <w:r w:rsidR="00D01F97">
        <w:rPr>
          <w:rFonts w:ascii="Arial" w:hAnsi="Arial" w:cs="Arial"/>
        </w:rPr>
        <w:t>9</w:t>
      </w:r>
      <w:r>
        <w:rPr>
          <w:rFonts w:ascii="Arial" w:hAnsi="Arial" w:cs="Arial"/>
        </w:rPr>
        <w:t xml:space="preserve"> una subvención de capital de importe </w:t>
      </w:r>
      <w:r w:rsidR="00D01F97">
        <w:rPr>
          <w:rFonts w:ascii="Arial" w:hAnsi="Arial" w:cs="Arial"/>
        </w:rPr>
        <w:t>274.602,89</w:t>
      </w:r>
      <w:r>
        <w:rPr>
          <w:rFonts w:ascii="Arial" w:hAnsi="Arial" w:cs="Arial"/>
        </w:rPr>
        <w:t xml:space="preserve"> euros para financiar </w:t>
      </w:r>
      <w:r w:rsidR="00361989">
        <w:rPr>
          <w:rFonts w:ascii="Arial" w:hAnsi="Arial" w:cs="Arial"/>
        </w:rPr>
        <w:t>las mejoras en las instalaciones de la</w:t>
      </w:r>
      <w:r w:rsidR="00BF1383">
        <w:rPr>
          <w:rFonts w:ascii="Arial" w:hAnsi="Arial" w:cs="Arial"/>
        </w:rPr>
        <w:t>s</w:t>
      </w:r>
      <w:r w:rsidR="00361989">
        <w:rPr>
          <w:rFonts w:ascii="Arial" w:hAnsi="Arial" w:cs="Arial"/>
        </w:rPr>
        <w:t xml:space="preserve"> finca</w:t>
      </w:r>
      <w:r w:rsidR="00BF1383">
        <w:rPr>
          <w:rFonts w:ascii="Arial" w:hAnsi="Arial" w:cs="Arial"/>
        </w:rPr>
        <w:t>s</w:t>
      </w:r>
      <w:r w:rsidR="00D01F97">
        <w:rPr>
          <w:rFonts w:ascii="Arial" w:hAnsi="Arial" w:cs="Arial"/>
        </w:rPr>
        <w:t xml:space="preserve"> experimentales de </w:t>
      </w:r>
      <w:proofErr w:type="spellStart"/>
      <w:r w:rsidR="00D01F97">
        <w:rPr>
          <w:rFonts w:ascii="Arial" w:hAnsi="Arial" w:cs="Arial"/>
        </w:rPr>
        <w:t>Cadreita</w:t>
      </w:r>
      <w:proofErr w:type="spellEnd"/>
      <w:r w:rsidR="00D01F97">
        <w:rPr>
          <w:rFonts w:ascii="Arial" w:hAnsi="Arial" w:cs="Arial"/>
        </w:rPr>
        <w:t>,</w:t>
      </w:r>
      <w:r w:rsidR="00BF1383">
        <w:rPr>
          <w:rFonts w:ascii="Arial" w:hAnsi="Arial" w:cs="Arial"/>
        </w:rPr>
        <w:t xml:space="preserve"> </w:t>
      </w:r>
      <w:proofErr w:type="spellStart"/>
      <w:r w:rsidR="00BF1383">
        <w:rPr>
          <w:rFonts w:ascii="Arial" w:hAnsi="Arial" w:cs="Arial"/>
        </w:rPr>
        <w:t>Sartaguda</w:t>
      </w:r>
      <w:proofErr w:type="spellEnd"/>
      <w:r w:rsidR="00BF1383">
        <w:rPr>
          <w:rFonts w:ascii="Arial" w:hAnsi="Arial" w:cs="Arial"/>
        </w:rPr>
        <w:t xml:space="preserve"> y Roncesvalles.</w:t>
      </w:r>
      <w:r w:rsidR="00B27248">
        <w:rPr>
          <w:rFonts w:ascii="Arial" w:hAnsi="Arial" w:cs="Arial"/>
        </w:rPr>
        <w:t xml:space="preserve"> Dicha subvención ha sido concedida por Gobierno de Navarra.</w:t>
      </w:r>
    </w:p>
    <w:p w14:paraId="04D25D94" w14:textId="77777777" w:rsidR="00361989" w:rsidRDefault="000A1C63" w:rsidP="00BF1383">
      <w:pPr>
        <w:spacing w:before="200" w:line="276" w:lineRule="auto"/>
        <w:ind w:firstLine="708"/>
        <w:jc w:val="center"/>
        <w:rPr>
          <w:rFonts w:ascii="Arial" w:hAnsi="Arial" w:cs="Arial"/>
        </w:rPr>
      </w:pPr>
      <w:r w:rsidRPr="000A1C63">
        <w:rPr>
          <w:noProof/>
          <w:lang w:val="es-ES"/>
        </w:rPr>
        <w:drawing>
          <wp:inline distT="0" distB="0" distL="0" distR="0" wp14:anchorId="03849741" wp14:editId="10AB4AE5">
            <wp:extent cx="3657600" cy="1185413"/>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63298" cy="1187260"/>
                    </a:xfrm>
                    <a:prstGeom prst="rect">
                      <a:avLst/>
                    </a:prstGeom>
                    <a:noFill/>
                    <a:ln>
                      <a:noFill/>
                    </a:ln>
                  </pic:spPr>
                </pic:pic>
              </a:graphicData>
            </a:graphic>
          </wp:inline>
        </w:drawing>
      </w:r>
    </w:p>
    <w:p w14:paraId="155C9DE2" w14:textId="77777777" w:rsidR="00C73C4D" w:rsidRDefault="009B0B40" w:rsidP="00852006">
      <w:pPr>
        <w:spacing w:before="200" w:line="276" w:lineRule="auto"/>
        <w:jc w:val="both"/>
        <w:rPr>
          <w:rFonts w:ascii="Arial" w:hAnsi="Arial" w:cs="Arial"/>
        </w:rPr>
      </w:pPr>
      <w:r w:rsidRPr="00361989">
        <w:rPr>
          <w:rFonts w:ascii="Arial" w:hAnsi="Arial" w:cs="Arial"/>
        </w:rPr>
        <w:t>Los importes totales de las subvenciones se resumen en la tabla que sigue a continuación:</w:t>
      </w:r>
    </w:p>
    <w:p w14:paraId="1D219389" w14:textId="77777777" w:rsidR="009B0B40" w:rsidRDefault="00BF1383" w:rsidP="00BF1383">
      <w:pPr>
        <w:tabs>
          <w:tab w:val="left" w:pos="709"/>
          <w:tab w:val="center" w:pos="4320"/>
        </w:tabs>
        <w:spacing w:before="200" w:line="276" w:lineRule="auto"/>
        <w:ind w:firstLine="142"/>
        <w:jc w:val="center"/>
        <w:rPr>
          <w:rFonts w:ascii="Arial Narrow" w:hAnsi="Arial Narrow"/>
          <w:sz w:val="22"/>
          <w:szCs w:val="22"/>
        </w:rPr>
      </w:pPr>
      <w:r>
        <w:rPr>
          <w:rFonts w:ascii="Arial Narrow" w:hAnsi="Arial Narrow"/>
          <w:sz w:val="22"/>
          <w:szCs w:val="22"/>
        </w:rPr>
        <w:tab/>
      </w:r>
      <w:r w:rsidR="000A1C63" w:rsidRPr="000A1C63">
        <w:rPr>
          <w:noProof/>
          <w:lang w:val="es-ES"/>
        </w:rPr>
        <w:drawing>
          <wp:inline distT="0" distB="0" distL="0" distR="0" wp14:anchorId="1664E219" wp14:editId="3742A7AF">
            <wp:extent cx="3670055" cy="550228"/>
            <wp:effectExtent l="0" t="0" r="6985" b="254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80100" cy="551734"/>
                    </a:xfrm>
                    <a:prstGeom prst="rect">
                      <a:avLst/>
                    </a:prstGeom>
                    <a:noFill/>
                    <a:ln>
                      <a:noFill/>
                    </a:ln>
                  </pic:spPr>
                </pic:pic>
              </a:graphicData>
            </a:graphic>
          </wp:inline>
        </w:drawing>
      </w:r>
    </w:p>
    <w:p w14:paraId="2C25BD98" w14:textId="77777777" w:rsidR="00EB5468" w:rsidRPr="00C73C4D" w:rsidRDefault="009B0B40" w:rsidP="00C73C4D">
      <w:pPr>
        <w:spacing w:before="200" w:line="276" w:lineRule="auto"/>
        <w:jc w:val="both"/>
        <w:rPr>
          <w:rFonts w:ascii="Arial" w:hAnsi="Arial" w:cs="Arial"/>
        </w:rPr>
      </w:pPr>
      <w:r w:rsidRPr="00501250">
        <w:rPr>
          <w:rFonts w:ascii="Arial" w:hAnsi="Arial" w:cs="Arial"/>
        </w:rPr>
        <w:t xml:space="preserve">En el Balance de la Sociedad la cuenta “Subvenciones Oficiales de Capital” al cierre del ejercicio refleja un importe de </w:t>
      </w:r>
      <w:r w:rsidR="000C2207">
        <w:rPr>
          <w:rFonts w:ascii="Arial" w:hAnsi="Arial" w:cs="Arial"/>
        </w:rPr>
        <w:t>1.682.496,08</w:t>
      </w:r>
      <w:r>
        <w:rPr>
          <w:rFonts w:ascii="Arial" w:hAnsi="Arial" w:cs="Arial"/>
        </w:rPr>
        <w:t xml:space="preserve"> euros (</w:t>
      </w:r>
      <w:r w:rsidR="000C2207">
        <w:rPr>
          <w:rFonts w:ascii="Arial" w:hAnsi="Arial" w:cs="Arial"/>
        </w:rPr>
        <w:t>1.533.046,85</w:t>
      </w:r>
      <w:r>
        <w:rPr>
          <w:rFonts w:ascii="Arial" w:hAnsi="Arial" w:cs="Arial"/>
        </w:rPr>
        <w:t xml:space="preserve"> euros en 201</w:t>
      </w:r>
      <w:r w:rsidR="000C2207">
        <w:rPr>
          <w:rFonts w:ascii="Arial" w:hAnsi="Arial" w:cs="Arial"/>
        </w:rPr>
        <w:t>8</w:t>
      </w:r>
      <w:r>
        <w:rPr>
          <w:rFonts w:ascii="Arial" w:hAnsi="Arial" w:cs="Arial"/>
        </w:rPr>
        <w:t xml:space="preserve">). </w:t>
      </w:r>
      <w:bookmarkStart w:id="21" w:name="_Toc350855628"/>
    </w:p>
    <w:p w14:paraId="3EE74D5B" w14:textId="77777777" w:rsidR="000B1B88" w:rsidRPr="0013770B" w:rsidRDefault="009B0B40" w:rsidP="0013770B">
      <w:pPr>
        <w:pStyle w:val="Ttulo1"/>
        <w:spacing w:before="200" w:line="276" w:lineRule="auto"/>
        <w:rPr>
          <w:rFonts w:ascii="EurostileT" w:hAnsi="EurostileT"/>
          <w:color w:val="005BA6"/>
          <w:sz w:val="28"/>
          <w:szCs w:val="28"/>
        </w:rPr>
      </w:pPr>
      <w:r w:rsidRPr="0013770B">
        <w:rPr>
          <w:rFonts w:ascii="EurostileT" w:hAnsi="EurostileT"/>
          <w:color w:val="005BA6"/>
          <w:sz w:val="28"/>
          <w:szCs w:val="28"/>
        </w:rPr>
        <w:t>19. OPERACIONES CON PARTES VINCULADAS</w:t>
      </w:r>
      <w:bookmarkEnd w:id="21"/>
    </w:p>
    <w:p w14:paraId="4A8F6D6E" w14:textId="77777777" w:rsidR="000B1B88" w:rsidRPr="0013770B" w:rsidRDefault="000B1B88" w:rsidP="0013770B">
      <w:pPr>
        <w:pStyle w:val="Ttulo1"/>
        <w:spacing w:before="200" w:line="276" w:lineRule="auto"/>
        <w:ind w:left="851" w:hanging="851"/>
        <w:jc w:val="both"/>
        <w:rPr>
          <w:rFonts w:ascii="EurostileT" w:hAnsi="EurostileT"/>
          <w:color w:val="005BA6"/>
          <w:sz w:val="28"/>
          <w:szCs w:val="28"/>
        </w:rPr>
      </w:pPr>
      <w:r w:rsidRPr="0013770B">
        <w:rPr>
          <w:rFonts w:ascii="EurostileT" w:hAnsi="EurostileT"/>
          <w:color w:val="005BA6"/>
          <w:sz w:val="28"/>
          <w:szCs w:val="28"/>
        </w:rPr>
        <w:t xml:space="preserve">19.1 </w:t>
      </w:r>
      <w:r w:rsidR="0013770B">
        <w:rPr>
          <w:rFonts w:ascii="EurostileT" w:hAnsi="EurostileT"/>
          <w:color w:val="005BA6"/>
          <w:sz w:val="28"/>
          <w:szCs w:val="28"/>
        </w:rPr>
        <w:tab/>
      </w:r>
      <w:r w:rsidRPr="0013770B">
        <w:rPr>
          <w:rFonts w:ascii="EurostileT" w:hAnsi="EurostileT"/>
          <w:color w:val="005BA6"/>
          <w:sz w:val="28"/>
          <w:szCs w:val="28"/>
        </w:rPr>
        <w:t>Saldos y operaciones con el accionista único, sociedades del grupo y Gobierno de Navarra</w:t>
      </w:r>
    </w:p>
    <w:p w14:paraId="7B65F8D6" w14:textId="77777777" w:rsidR="009B0B40" w:rsidRDefault="009B0B40" w:rsidP="00852006">
      <w:pPr>
        <w:spacing w:before="200" w:line="276" w:lineRule="auto"/>
        <w:jc w:val="both"/>
        <w:rPr>
          <w:rFonts w:ascii="Arial" w:hAnsi="Arial" w:cs="Arial"/>
        </w:rPr>
      </w:pPr>
      <w:r w:rsidRPr="006504A0">
        <w:rPr>
          <w:rFonts w:ascii="Arial" w:hAnsi="Arial" w:cs="Arial"/>
        </w:rPr>
        <w:t xml:space="preserve">Dentro del epígrafe III del Pasivo no Corriente del Balance, la Sociedad </w:t>
      </w:r>
      <w:r w:rsidR="00860134">
        <w:rPr>
          <w:rFonts w:ascii="Arial" w:hAnsi="Arial" w:cs="Arial"/>
        </w:rPr>
        <w:t>contabilizaba en 2018</w:t>
      </w:r>
      <w:r w:rsidRPr="006504A0">
        <w:rPr>
          <w:rFonts w:ascii="Arial" w:hAnsi="Arial" w:cs="Arial"/>
        </w:rPr>
        <w:t xml:space="preserve"> la deuda</w:t>
      </w:r>
      <w:r w:rsidR="00860134">
        <w:rPr>
          <w:rFonts w:ascii="Arial" w:hAnsi="Arial" w:cs="Arial"/>
        </w:rPr>
        <w:t xml:space="preserve"> a largo plazo</w:t>
      </w:r>
      <w:r w:rsidRPr="006504A0">
        <w:rPr>
          <w:rFonts w:ascii="Arial" w:hAnsi="Arial" w:cs="Arial"/>
        </w:rPr>
        <w:t xml:space="preserve"> que con la Administración de la Comunidad Foral de Navarra, propietario de la Corporación Pública Empresarial de Navarra</w:t>
      </w:r>
      <w:r>
        <w:rPr>
          <w:rFonts w:ascii="Arial" w:hAnsi="Arial" w:cs="Arial"/>
        </w:rPr>
        <w:t>,</w:t>
      </w:r>
      <w:r w:rsidR="00860134">
        <w:rPr>
          <w:rFonts w:ascii="Arial" w:hAnsi="Arial" w:cs="Arial"/>
        </w:rPr>
        <w:t xml:space="preserve"> S.L.U., mantenía</w:t>
      </w:r>
      <w:r w:rsidRPr="006504A0">
        <w:rPr>
          <w:rFonts w:ascii="Arial" w:hAnsi="Arial" w:cs="Arial"/>
        </w:rPr>
        <w:t xml:space="preserve"> para que a su vez </w:t>
      </w:r>
      <w:r>
        <w:rPr>
          <w:rFonts w:ascii="Arial" w:hAnsi="Arial" w:cs="Arial"/>
        </w:rPr>
        <w:t>INTIA</w:t>
      </w:r>
      <w:r w:rsidRPr="006504A0">
        <w:rPr>
          <w:rFonts w:ascii="Arial" w:hAnsi="Arial" w:cs="Arial"/>
        </w:rPr>
        <w:t xml:space="preserve">, S.A. los </w:t>
      </w:r>
      <w:r w:rsidR="00860134">
        <w:rPr>
          <w:rFonts w:ascii="Arial" w:hAnsi="Arial" w:cs="Arial"/>
        </w:rPr>
        <w:t>concediera</w:t>
      </w:r>
      <w:r w:rsidRPr="006504A0">
        <w:rPr>
          <w:rFonts w:ascii="Arial" w:hAnsi="Arial" w:cs="Arial"/>
        </w:rPr>
        <w:t xml:space="preserve"> a los beneficiarios de las obras de transformación en regadío que la Sociedad promueve en su actividad como delegada de la Comunidad Foral en esa materia. </w:t>
      </w:r>
      <w:r w:rsidR="00860134">
        <w:rPr>
          <w:rFonts w:ascii="Arial" w:hAnsi="Arial" w:cs="Arial"/>
        </w:rPr>
        <w:t xml:space="preserve">Puesto que los préstamos vencen en 2020, al cierre del ejercicio 2019 la Sociedad no registra deuda a largo plazo. </w:t>
      </w:r>
      <w:r w:rsidRPr="006504A0">
        <w:rPr>
          <w:rFonts w:ascii="Arial" w:hAnsi="Arial" w:cs="Arial"/>
        </w:rPr>
        <w:t>El importe de la deuda en 201</w:t>
      </w:r>
      <w:r w:rsidR="003D4A8C">
        <w:rPr>
          <w:rFonts w:ascii="Arial" w:hAnsi="Arial" w:cs="Arial"/>
        </w:rPr>
        <w:t>8</w:t>
      </w:r>
      <w:r w:rsidRPr="006504A0">
        <w:rPr>
          <w:rFonts w:ascii="Arial" w:hAnsi="Arial" w:cs="Arial"/>
        </w:rPr>
        <w:t xml:space="preserve"> </w:t>
      </w:r>
      <w:r w:rsidR="00860134">
        <w:rPr>
          <w:rFonts w:ascii="Arial" w:hAnsi="Arial" w:cs="Arial"/>
        </w:rPr>
        <w:t>ascendía</w:t>
      </w:r>
      <w:r w:rsidRPr="006504A0">
        <w:rPr>
          <w:rFonts w:ascii="Arial" w:hAnsi="Arial" w:cs="Arial"/>
        </w:rPr>
        <w:t xml:space="preserve"> de </w:t>
      </w:r>
      <w:r w:rsidR="003D4A8C">
        <w:rPr>
          <w:rFonts w:ascii="Arial" w:hAnsi="Arial" w:cs="Arial"/>
        </w:rPr>
        <w:t>26.242,16</w:t>
      </w:r>
      <w:r>
        <w:rPr>
          <w:rFonts w:ascii="Arial" w:hAnsi="Arial" w:cs="Arial"/>
        </w:rPr>
        <w:t xml:space="preserve"> euros. </w:t>
      </w:r>
    </w:p>
    <w:p w14:paraId="12082ED1" w14:textId="77777777" w:rsidR="00C24C18" w:rsidRDefault="009B0B40" w:rsidP="00852006">
      <w:pPr>
        <w:spacing w:before="200" w:line="276" w:lineRule="auto"/>
        <w:jc w:val="both"/>
        <w:rPr>
          <w:rFonts w:ascii="Arial" w:hAnsi="Arial" w:cs="Arial"/>
        </w:rPr>
      </w:pPr>
      <w:r w:rsidRPr="002F2F3D">
        <w:rPr>
          <w:rFonts w:ascii="Arial" w:hAnsi="Arial" w:cs="Arial"/>
        </w:rPr>
        <w:t>La deuda que por el motivo citado anteriormente mantiene la Sociedad con el Gobierno de Navarra a corto plazo se recoge dentro de la partida “Deudas con empresas del grupo y asociadas a corto plazo” del Pasivo Corriente. La deuda a corto plazo a 31 de diciembre de 201</w:t>
      </w:r>
      <w:r w:rsidR="00860134">
        <w:rPr>
          <w:rFonts w:ascii="Arial" w:hAnsi="Arial" w:cs="Arial"/>
        </w:rPr>
        <w:t>9</w:t>
      </w:r>
      <w:r w:rsidR="00646ADB">
        <w:rPr>
          <w:rFonts w:ascii="Arial" w:hAnsi="Arial" w:cs="Arial"/>
        </w:rPr>
        <w:t xml:space="preserve"> </w:t>
      </w:r>
      <w:r w:rsidRPr="002F2F3D">
        <w:rPr>
          <w:rFonts w:ascii="Arial" w:hAnsi="Arial" w:cs="Arial"/>
        </w:rPr>
        <w:t>asciende a</w:t>
      </w:r>
      <w:r>
        <w:rPr>
          <w:rFonts w:ascii="Arial" w:hAnsi="Arial" w:cs="Arial"/>
        </w:rPr>
        <w:t xml:space="preserve"> </w:t>
      </w:r>
      <w:r w:rsidR="00860134">
        <w:rPr>
          <w:rFonts w:ascii="Arial" w:hAnsi="Arial" w:cs="Arial"/>
        </w:rPr>
        <w:t>1.031.045,62</w:t>
      </w:r>
      <w:r>
        <w:rPr>
          <w:rFonts w:ascii="Arial" w:hAnsi="Arial" w:cs="Arial"/>
        </w:rPr>
        <w:t xml:space="preserve"> euros. En 201</w:t>
      </w:r>
      <w:r w:rsidR="00860134">
        <w:rPr>
          <w:rFonts w:ascii="Arial" w:hAnsi="Arial" w:cs="Arial"/>
        </w:rPr>
        <w:t>8</w:t>
      </w:r>
      <w:r w:rsidR="00653030">
        <w:rPr>
          <w:rFonts w:ascii="Arial" w:hAnsi="Arial" w:cs="Arial"/>
        </w:rPr>
        <w:t xml:space="preserve"> el importe era de </w:t>
      </w:r>
      <w:r w:rsidR="00860134">
        <w:rPr>
          <w:rFonts w:ascii="Arial" w:hAnsi="Arial" w:cs="Arial"/>
        </w:rPr>
        <w:t>1.050.878,81</w:t>
      </w:r>
      <w:r w:rsidR="00C24C18">
        <w:rPr>
          <w:rFonts w:ascii="Arial" w:hAnsi="Arial" w:cs="Arial"/>
        </w:rPr>
        <w:t xml:space="preserve"> euros de deuda a corto.</w:t>
      </w:r>
    </w:p>
    <w:p w14:paraId="5EF8D22E" w14:textId="77777777" w:rsidR="000E5091" w:rsidRPr="006504A0" w:rsidRDefault="009B0B40" w:rsidP="00852006">
      <w:pPr>
        <w:spacing w:before="200" w:line="276" w:lineRule="auto"/>
        <w:jc w:val="both"/>
        <w:rPr>
          <w:rFonts w:ascii="Arial" w:hAnsi="Arial" w:cs="Arial"/>
        </w:rPr>
      </w:pPr>
      <w:r>
        <w:rPr>
          <w:rFonts w:ascii="Arial" w:hAnsi="Arial" w:cs="Arial"/>
        </w:rPr>
        <w:t>La partida 2 “Proveedores  empresas del grupo y asociadas” recoge el saldo que la Sociedad mantiene con empresas del grupo. El saldo al cierre del ejercicio 2</w:t>
      </w:r>
      <w:r w:rsidR="00AD09B5">
        <w:rPr>
          <w:rFonts w:ascii="Arial" w:hAnsi="Arial" w:cs="Arial"/>
        </w:rPr>
        <w:t>01</w:t>
      </w:r>
      <w:r w:rsidR="00860134">
        <w:rPr>
          <w:rFonts w:ascii="Arial" w:hAnsi="Arial" w:cs="Arial"/>
        </w:rPr>
        <w:t>9</w:t>
      </w:r>
      <w:r>
        <w:rPr>
          <w:rFonts w:ascii="Arial" w:hAnsi="Arial" w:cs="Arial"/>
        </w:rPr>
        <w:t xml:space="preserve"> asciende a </w:t>
      </w:r>
      <w:r w:rsidR="00860134">
        <w:rPr>
          <w:rFonts w:ascii="Arial" w:hAnsi="Arial" w:cs="Arial"/>
        </w:rPr>
        <w:t>101.652,51</w:t>
      </w:r>
      <w:r w:rsidR="0075511B">
        <w:rPr>
          <w:rFonts w:ascii="Arial" w:hAnsi="Arial" w:cs="Arial"/>
        </w:rPr>
        <w:t xml:space="preserve"> euros siendo </w:t>
      </w:r>
      <w:r w:rsidR="00860134">
        <w:rPr>
          <w:rFonts w:ascii="Arial" w:hAnsi="Arial" w:cs="Arial"/>
        </w:rPr>
        <w:t>51.949,15</w:t>
      </w:r>
      <w:r w:rsidR="0075511B">
        <w:rPr>
          <w:rFonts w:ascii="Arial" w:hAnsi="Arial" w:cs="Arial"/>
        </w:rPr>
        <w:t xml:space="preserve"> euros el saldo existente con la sociedad dominante CPEN y el resto, esto es </w:t>
      </w:r>
      <w:r w:rsidR="00860134">
        <w:rPr>
          <w:rFonts w:ascii="Arial" w:hAnsi="Arial" w:cs="Arial"/>
        </w:rPr>
        <w:t>49.703,36</w:t>
      </w:r>
      <w:r w:rsidR="0075511B">
        <w:rPr>
          <w:rFonts w:ascii="Arial" w:hAnsi="Arial" w:cs="Arial"/>
        </w:rPr>
        <w:t xml:space="preserve"> euros el saldo con otras Sociedades del Grupo.</w:t>
      </w:r>
      <w:r>
        <w:rPr>
          <w:rFonts w:ascii="Arial" w:hAnsi="Arial" w:cs="Arial"/>
        </w:rPr>
        <w:t xml:space="preserve"> Al cierre del ejercicio </w:t>
      </w:r>
      <w:r w:rsidR="00AD09B5">
        <w:rPr>
          <w:rFonts w:ascii="Arial" w:hAnsi="Arial" w:cs="Arial"/>
        </w:rPr>
        <w:t>201</w:t>
      </w:r>
      <w:r w:rsidR="00860134">
        <w:rPr>
          <w:rFonts w:ascii="Arial" w:hAnsi="Arial" w:cs="Arial"/>
        </w:rPr>
        <w:t>8</w:t>
      </w:r>
      <w:r>
        <w:rPr>
          <w:rFonts w:ascii="Arial" w:hAnsi="Arial" w:cs="Arial"/>
        </w:rPr>
        <w:t xml:space="preserve">, la Sociedad  presentaba un saldo de </w:t>
      </w:r>
      <w:r w:rsidR="00860134">
        <w:rPr>
          <w:rFonts w:ascii="Arial" w:hAnsi="Arial" w:cs="Arial"/>
        </w:rPr>
        <w:t>129.834,33</w:t>
      </w:r>
      <w:r>
        <w:rPr>
          <w:rFonts w:ascii="Arial" w:hAnsi="Arial" w:cs="Arial"/>
        </w:rPr>
        <w:t xml:space="preserve"> euros.</w:t>
      </w:r>
      <w:r w:rsidR="0075511B">
        <w:rPr>
          <w:rFonts w:ascii="Arial" w:hAnsi="Arial" w:cs="Arial"/>
        </w:rPr>
        <w:t xml:space="preserve"> El saldo existente con la sociedad dominante ascendía a </w:t>
      </w:r>
      <w:r w:rsidR="00860134">
        <w:rPr>
          <w:rFonts w:ascii="Arial" w:hAnsi="Arial" w:cs="Arial"/>
        </w:rPr>
        <w:t>50.027</w:t>
      </w:r>
      <w:r w:rsidR="0075511B">
        <w:rPr>
          <w:rFonts w:ascii="Arial" w:hAnsi="Arial" w:cs="Arial"/>
        </w:rPr>
        <w:t xml:space="preserve"> euros y el saldo con otras Sociedades de Grupo ascendía a </w:t>
      </w:r>
      <w:r w:rsidR="00860134">
        <w:rPr>
          <w:rFonts w:ascii="Arial" w:hAnsi="Arial" w:cs="Arial"/>
        </w:rPr>
        <w:t>79.807,33</w:t>
      </w:r>
      <w:r w:rsidR="0075511B">
        <w:rPr>
          <w:rFonts w:ascii="Arial" w:hAnsi="Arial" w:cs="Arial"/>
        </w:rPr>
        <w:t xml:space="preserve"> euros.</w:t>
      </w:r>
    </w:p>
    <w:p w14:paraId="0AA408C7" w14:textId="77777777" w:rsidR="009B0B40" w:rsidRDefault="009B0B40" w:rsidP="00852006">
      <w:pPr>
        <w:spacing w:before="200" w:line="276" w:lineRule="auto"/>
        <w:jc w:val="both"/>
        <w:rPr>
          <w:rFonts w:ascii="Arial" w:hAnsi="Arial" w:cs="Arial"/>
        </w:rPr>
      </w:pPr>
      <w:r w:rsidRPr="00764BF2">
        <w:rPr>
          <w:rFonts w:ascii="Arial" w:hAnsi="Arial" w:cs="Arial"/>
        </w:rPr>
        <w:t xml:space="preserve">La partida 2 “Clientes, empresas del grupo y asociadas” del Activo Corriente del Balance presenta el siguiente desglose para los años </w:t>
      </w:r>
      <w:r w:rsidR="00944BD6">
        <w:rPr>
          <w:rFonts w:ascii="Arial" w:hAnsi="Arial" w:cs="Arial"/>
        </w:rPr>
        <w:t>201</w:t>
      </w:r>
      <w:r w:rsidR="00860134">
        <w:rPr>
          <w:rFonts w:ascii="Arial" w:hAnsi="Arial" w:cs="Arial"/>
        </w:rPr>
        <w:t>9</w:t>
      </w:r>
      <w:r w:rsidR="00944BD6">
        <w:rPr>
          <w:rFonts w:ascii="Arial" w:hAnsi="Arial" w:cs="Arial"/>
        </w:rPr>
        <w:t xml:space="preserve"> y 201</w:t>
      </w:r>
      <w:r w:rsidR="00860134">
        <w:rPr>
          <w:rFonts w:ascii="Arial" w:hAnsi="Arial" w:cs="Arial"/>
        </w:rPr>
        <w:t>8</w:t>
      </w:r>
      <w:r w:rsidRPr="00764BF2">
        <w:rPr>
          <w:rFonts w:ascii="Arial" w:hAnsi="Arial" w:cs="Arial"/>
        </w:rPr>
        <w:t>.</w:t>
      </w:r>
    </w:p>
    <w:p w14:paraId="51F17A81" w14:textId="77777777" w:rsidR="001A3D9D" w:rsidRDefault="000A1C63">
      <w:pPr>
        <w:spacing w:before="200" w:line="276" w:lineRule="auto"/>
        <w:jc w:val="center"/>
        <w:rPr>
          <w:rFonts w:ascii="Arial" w:hAnsi="Arial" w:cs="Arial"/>
        </w:rPr>
      </w:pPr>
      <w:r w:rsidRPr="000A1C63">
        <w:rPr>
          <w:noProof/>
          <w:lang w:val="es-ES"/>
        </w:rPr>
        <w:drawing>
          <wp:inline distT="0" distB="0" distL="0" distR="0" wp14:anchorId="1327ACCF" wp14:editId="741D3892">
            <wp:extent cx="3784453" cy="685365"/>
            <wp:effectExtent l="0" t="0" r="6985" b="63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784508" cy="685375"/>
                    </a:xfrm>
                    <a:prstGeom prst="rect">
                      <a:avLst/>
                    </a:prstGeom>
                    <a:noFill/>
                    <a:ln>
                      <a:noFill/>
                    </a:ln>
                  </pic:spPr>
                </pic:pic>
              </a:graphicData>
            </a:graphic>
          </wp:inline>
        </w:drawing>
      </w:r>
    </w:p>
    <w:p w14:paraId="37F59A41" w14:textId="77777777" w:rsidR="004D053B" w:rsidRDefault="00EB12F8" w:rsidP="002D77B8">
      <w:pPr>
        <w:spacing w:before="200" w:line="276" w:lineRule="auto"/>
        <w:jc w:val="both"/>
        <w:rPr>
          <w:rFonts w:ascii="Arial" w:hAnsi="Arial" w:cs="Arial"/>
        </w:rPr>
      </w:pPr>
      <w:r>
        <w:rPr>
          <w:rFonts w:ascii="Arial" w:hAnsi="Arial" w:cs="Arial"/>
        </w:rPr>
        <w:t>La partida de “Otros activos financieros” del apartado “Inversiones en empresas del grupo y asociadas a corto plazo” del Activo</w:t>
      </w:r>
      <w:r w:rsidR="006A10C5">
        <w:rPr>
          <w:rFonts w:ascii="Arial" w:hAnsi="Arial" w:cs="Arial"/>
        </w:rPr>
        <w:t xml:space="preserve"> Corriente del Balance recoge el saldo que mantiene la Sociedad con Gobierno de Navarra correspondiente a los cánones facturados de los contratos concesionales. </w:t>
      </w:r>
      <w:r w:rsidR="002D77B8">
        <w:rPr>
          <w:rFonts w:ascii="Arial" w:hAnsi="Arial" w:cs="Arial"/>
        </w:rPr>
        <w:t xml:space="preserve"> </w:t>
      </w:r>
      <w:r w:rsidR="006A10C5">
        <w:rPr>
          <w:rFonts w:ascii="Arial" w:hAnsi="Arial" w:cs="Arial"/>
        </w:rPr>
        <w:t>La</w:t>
      </w:r>
      <w:r w:rsidR="00FD1DD5">
        <w:rPr>
          <w:rFonts w:ascii="Arial" w:hAnsi="Arial" w:cs="Arial"/>
        </w:rPr>
        <w:t xml:space="preserve"> Sociedad actúa como un ente intermediario entre la Administración y la sociedad concesionaria, de forma que como se explica en el punto 19.2, los cánones facturados se compensan sin pasar por cuenta de pérdidas y ganancias y existe una factura “espejo” emitid</w:t>
      </w:r>
      <w:r w:rsidR="006A10C5">
        <w:rPr>
          <w:rFonts w:ascii="Arial" w:hAnsi="Arial" w:cs="Arial"/>
        </w:rPr>
        <w:t>a por la Sociedad Concesionaria</w:t>
      </w:r>
      <w:r w:rsidR="00FD1DD5">
        <w:rPr>
          <w:rFonts w:ascii="Arial" w:hAnsi="Arial" w:cs="Arial"/>
        </w:rPr>
        <w:t>.</w:t>
      </w:r>
      <w:r w:rsidR="002D77B8">
        <w:rPr>
          <w:rFonts w:ascii="Arial" w:hAnsi="Arial" w:cs="Arial"/>
        </w:rPr>
        <w:t xml:space="preserve"> </w:t>
      </w:r>
      <w:r w:rsidR="004434EE">
        <w:rPr>
          <w:rFonts w:ascii="Arial" w:hAnsi="Arial" w:cs="Arial"/>
        </w:rPr>
        <w:t>Los saldos que mantiene la Sociedad con las sociedades concesionarias se recogen en el epígrafe de “Otros Pasivos Financieros”.</w:t>
      </w:r>
    </w:p>
    <w:p w14:paraId="642B7EF6" w14:textId="77777777" w:rsidR="009B0B40" w:rsidRPr="00D03B41" w:rsidRDefault="009B0B40" w:rsidP="00852006">
      <w:pPr>
        <w:spacing w:before="200" w:line="276" w:lineRule="auto"/>
        <w:jc w:val="both"/>
        <w:rPr>
          <w:rFonts w:ascii="Arial" w:hAnsi="Arial" w:cs="Arial"/>
        </w:rPr>
      </w:pPr>
      <w:r w:rsidRPr="00D03B41">
        <w:rPr>
          <w:rFonts w:ascii="Arial" w:hAnsi="Arial" w:cs="Arial"/>
        </w:rPr>
        <w:t>Bajo la partida 1</w:t>
      </w:r>
      <w:r>
        <w:rPr>
          <w:rFonts w:ascii="Arial" w:hAnsi="Arial" w:cs="Arial"/>
        </w:rPr>
        <w:t>5</w:t>
      </w:r>
      <w:r w:rsidRPr="00D03B41">
        <w:rPr>
          <w:rFonts w:ascii="Arial" w:hAnsi="Arial" w:cs="Arial"/>
        </w:rPr>
        <w:t xml:space="preserve"> a) de la cuenta de Pérdidas y Ganancias, la Sociedad contabiliza por un lado, los gastos financieros que se derivan de los </w:t>
      </w:r>
      <w:r w:rsidR="00F62574" w:rsidRPr="00D03B41">
        <w:rPr>
          <w:rFonts w:ascii="Arial" w:hAnsi="Arial" w:cs="Arial"/>
        </w:rPr>
        <w:t>préstamos</w:t>
      </w:r>
      <w:r w:rsidRPr="00D03B41">
        <w:rPr>
          <w:rFonts w:ascii="Arial" w:hAnsi="Arial" w:cs="Arial"/>
        </w:rPr>
        <w:t xml:space="preserve"> que con la Administración de la Comunidad Foral tiene contraídos. Tal y como se explica en el punto número 9 de la memoria en el que se habla de los pasivos financieros de la empresa, la Sociedad mantiene una deuda con el Gobierno de Navarra, deuda que a su vez ha permitido a </w:t>
      </w:r>
      <w:r>
        <w:rPr>
          <w:rFonts w:ascii="Arial" w:hAnsi="Arial" w:cs="Arial"/>
        </w:rPr>
        <w:t>la Sociedad</w:t>
      </w:r>
      <w:r w:rsidRPr="00D03B41">
        <w:rPr>
          <w:rFonts w:ascii="Arial" w:hAnsi="Arial" w:cs="Arial"/>
        </w:rPr>
        <w:t xml:space="preserve"> conceder préstamos a los beneficiarios de las obras de transformación en regadío. El importe contabilizado en 201</w:t>
      </w:r>
      <w:r w:rsidR="002E28F7">
        <w:rPr>
          <w:rFonts w:ascii="Arial" w:hAnsi="Arial" w:cs="Arial"/>
        </w:rPr>
        <w:t>9</w:t>
      </w:r>
      <w:r w:rsidRPr="00D03B41">
        <w:rPr>
          <w:rFonts w:ascii="Arial" w:hAnsi="Arial" w:cs="Arial"/>
        </w:rPr>
        <w:t xml:space="preserve"> asciende a </w:t>
      </w:r>
      <w:r w:rsidR="002E28F7">
        <w:rPr>
          <w:rFonts w:ascii="Arial" w:hAnsi="Arial" w:cs="Arial"/>
        </w:rPr>
        <w:t>1.666,04</w:t>
      </w:r>
      <w:r>
        <w:rPr>
          <w:rFonts w:ascii="Arial" w:hAnsi="Arial" w:cs="Arial"/>
        </w:rPr>
        <w:t xml:space="preserve"> euros</w:t>
      </w:r>
      <w:r w:rsidRPr="00D03B41">
        <w:rPr>
          <w:rFonts w:ascii="Arial" w:hAnsi="Arial" w:cs="Arial"/>
        </w:rPr>
        <w:t xml:space="preserve">. En </w:t>
      </w:r>
      <w:r>
        <w:rPr>
          <w:rFonts w:ascii="Arial" w:hAnsi="Arial" w:cs="Arial"/>
        </w:rPr>
        <w:t>201</w:t>
      </w:r>
      <w:r w:rsidR="002E28F7">
        <w:rPr>
          <w:rFonts w:ascii="Arial" w:hAnsi="Arial" w:cs="Arial"/>
        </w:rPr>
        <w:t>8</w:t>
      </w:r>
      <w:r w:rsidRPr="00D03B41">
        <w:rPr>
          <w:rFonts w:ascii="Arial" w:hAnsi="Arial" w:cs="Arial"/>
        </w:rPr>
        <w:t xml:space="preserve"> el import</w:t>
      </w:r>
      <w:r>
        <w:rPr>
          <w:rFonts w:ascii="Arial" w:hAnsi="Arial" w:cs="Arial"/>
        </w:rPr>
        <w:t>e de los gastos financieros era</w:t>
      </w:r>
      <w:r w:rsidRPr="00D03B41">
        <w:rPr>
          <w:rFonts w:ascii="Arial" w:hAnsi="Arial" w:cs="Arial"/>
        </w:rPr>
        <w:t xml:space="preserve"> de </w:t>
      </w:r>
      <w:r w:rsidR="002E28F7">
        <w:rPr>
          <w:rFonts w:ascii="Arial" w:hAnsi="Arial" w:cs="Arial"/>
        </w:rPr>
        <w:t>2.865,03</w:t>
      </w:r>
      <w:r>
        <w:rPr>
          <w:rFonts w:ascii="Arial" w:hAnsi="Arial" w:cs="Arial"/>
        </w:rPr>
        <w:t xml:space="preserve"> euros</w:t>
      </w:r>
      <w:r w:rsidRPr="00D03B41">
        <w:rPr>
          <w:rFonts w:ascii="Arial" w:hAnsi="Arial" w:cs="Arial"/>
        </w:rPr>
        <w:t>.</w:t>
      </w:r>
    </w:p>
    <w:p w14:paraId="73B28AEA" w14:textId="77777777" w:rsidR="009B0B40" w:rsidRDefault="009B0B40" w:rsidP="00852006">
      <w:pPr>
        <w:spacing w:before="200" w:line="276" w:lineRule="auto"/>
        <w:jc w:val="both"/>
        <w:rPr>
          <w:rFonts w:ascii="Arial" w:hAnsi="Arial" w:cs="Arial"/>
        </w:rPr>
      </w:pPr>
      <w:r w:rsidRPr="00D03B41">
        <w:rPr>
          <w:rFonts w:ascii="Arial" w:hAnsi="Arial" w:cs="Arial"/>
        </w:rPr>
        <w:t xml:space="preserve">Bajo la partida “Otros gastos de explotación” de la cuenta de pérdidas y ganancias la Sociedad contabiliza entre otros, los gastos en los que incurre al contratar los servicios de empresas pertenecientes desde 2010 a la Corporación Pública Empresarial de Navarra. </w:t>
      </w:r>
      <w:r>
        <w:rPr>
          <w:rFonts w:ascii="Arial" w:hAnsi="Arial" w:cs="Arial"/>
        </w:rPr>
        <w:t>En 201</w:t>
      </w:r>
      <w:r w:rsidR="002E28F7">
        <w:rPr>
          <w:rFonts w:ascii="Arial" w:hAnsi="Arial" w:cs="Arial"/>
        </w:rPr>
        <w:t>9</w:t>
      </w:r>
      <w:r>
        <w:rPr>
          <w:rFonts w:ascii="Arial" w:hAnsi="Arial" w:cs="Arial"/>
        </w:rPr>
        <w:t xml:space="preserve"> el importe registrado asciende a </w:t>
      </w:r>
      <w:r w:rsidR="002E28F7">
        <w:rPr>
          <w:rFonts w:ascii="Arial" w:hAnsi="Arial" w:cs="Arial"/>
        </w:rPr>
        <w:t>464.321,11</w:t>
      </w:r>
      <w:r w:rsidR="0075511B">
        <w:rPr>
          <w:rFonts w:ascii="Arial" w:hAnsi="Arial" w:cs="Arial"/>
        </w:rPr>
        <w:t xml:space="preserve"> euros. El gasto incurrido al contratar los servicios de la Sociedad dominante CPEN ha ascendido a </w:t>
      </w:r>
      <w:r w:rsidR="002E28F7">
        <w:rPr>
          <w:rFonts w:ascii="Arial" w:hAnsi="Arial" w:cs="Arial"/>
        </w:rPr>
        <w:t>101.560</w:t>
      </w:r>
      <w:r w:rsidR="0075511B">
        <w:rPr>
          <w:rFonts w:ascii="Arial" w:hAnsi="Arial" w:cs="Arial"/>
        </w:rPr>
        <w:t xml:space="preserve"> euros. </w:t>
      </w:r>
      <w:r>
        <w:rPr>
          <w:rFonts w:ascii="Arial" w:hAnsi="Arial" w:cs="Arial"/>
        </w:rPr>
        <w:t>En 201</w:t>
      </w:r>
      <w:r w:rsidR="002E28F7">
        <w:rPr>
          <w:rFonts w:ascii="Arial" w:hAnsi="Arial" w:cs="Arial"/>
        </w:rPr>
        <w:t>8</w:t>
      </w:r>
      <w:r>
        <w:rPr>
          <w:rFonts w:ascii="Arial" w:hAnsi="Arial" w:cs="Arial"/>
        </w:rPr>
        <w:t xml:space="preserve"> el importe</w:t>
      </w:r>
      <w:r w:rsidR="0075511B">
        <w:rPr>
          <w:rFonts w:ascii="Arial" w:hAnsi="Arial" w:cs="Arial"/>
        </w:rPr>
        <w:t xml:space="preserve"> del gasto total </w:t>
      </w:r>
      <w:r>
        <w:rPr>
          <w:rFonts w:ascii="Arial" w:hAnsi="Arial" w:cs="Arial"/>
        </w:rPr>
        <w:t xml:space="preserve"> contabilizado ascendía </w:t>
      </w:r>
      <w:r w:rsidR="002E28F7">
        <w:rPr>
          <w:rFonts w:ascii="Arial" w:hAnsi="Arial" w:cs="Arial"/>
        </w:rPr>
        <w:t>460.059,16</w:t>
      </w:r>
      <w:r w:rsidR="0075511B">
        <w:rPr>
          <w:rFonts w:ascii="Arial" w:hAnsi="Arial" w:cs="Arial"/>
        </w:rPr>
        <w:t xml:space="preserve"> euro</w:t>
      </w:r>
      <w:r w:rsidR="00653030">
        <w:rPr>
          <w:rFonts w:ascii="Arial" w:hAnsi="Arial" w:cs="Arial"/>
        </w:rPr>
        <w:t xml:space="preserve">s. El importe correspondiente a los servicios contratados a la CPEN </w:t>
      </w:r>
      <w:r w:rsidR="00770537">
        <w:rPr>
          <w:rFonts w:ascii="Arial" w:hAnsi="Arial" w:cs="Arial"/>
        </w:rPr>
        <w:t>ascendió</w:t>
      </w:r>
      <w:r w:rsidR="00653030">
        <w:rPr>
          <w:rFonts w:ascii="Arial" w:hAnsi="Arial" w:cs="Arial"/>
        </w:rPr>
        <w:t xml:space="preserve"> a </w:t>
      </w:r>
      <w:r w:rsidR="002E28F7">
        <w:rPr>
          <w:rFonts w:ascii="Arial" w:hAnsi="Arial" w:cs="Arial"/>
        </w:rPr>
        <w:t>104.562,99</w:t>
      </w:r>
      <w:r w:rsidR="00653030">
        <w:rPr>
          <w:rFonts w:ascii="Arial" w:hAnsi="Arial" w:cs="Arial"/>
        </w:rPr>
        <w:t xml:space="preserve"> euros.</w:t>
      </w:r>
    </w:p>
    <w:p w14:paraId="23883443" w14:textId="77777777" w:rsidR="009B0B40" w:rsidRDefault="009B0B40" w:rsidP="00852006">
      <w:pPr>
        <w:spacing w:before="200" w:line="276" w:lineRule="auto"/>
        <w:jc w:val="both"/>
        <w:rPr>
          <w:rFonts w:ascii="Arial" w:hAnsi="Arial" w:cs="Arial"/>
        </w:rPr>
      </w:pPr>
      <w:r>
        <w:rPr>
          <w:rFonts w:ascii="Arial" w:hAnsi="Arial" w:cs="Arial"/>
        </w:rPr>
        <w:t>Bajo la partida “Prestaciones de servicios a otros” de la cuenta de pérdidas y ganancias la Sociedad contabiliza los servicios prestados a empresas del grupo. En 201</w:t>
      </w:r>
      <w:r w:rsidR="002E28F7">
        <w:rPr>
          <w:rFonts w:ascii="Arial" w:hAnsi="Arial" w:cs="Arial"/>
        </w:rPr>
        <w:t>9</w:t>
      </w:r>
      <w:r>
        <w:rPr>
          <w:rFonts w:ascii="Arial" w:hAnsi="Arial" w:cs="Arial"/>
        </w:rPr>
        <w:t xml:space="preserve"> el importe asciende a </w:t>
      </w:r>
      <w:r w:rsidR="002E28F7">
        <w:rPr>
          <w:rFonts w:ascii="Arial" w:hAnsi="Arial" w:cs="Arial"/>
        </w:rPr>
        <w:t>36.283,95</w:t>
      </w:r>
      <w:r>
        <w:rPr>
          <w:rFonts w:ascii="Arial" w:hAnsi="Arial" w:cs="Arial"/>
        </w:rPr>
        <w:t xml:space="preserve"> euros. En 201</w:t>
      </w:r>
      <w:r w:rsidR="002E28F7">
        <w:rPr>
          <w:rFonts w:ascii="Arial" w:hAnsi="Arial" w:cs="Arial"/>
        </w:rPr>
        <w:t>8</w:t>
      </w:r>
      <w:r>
        <w:rPr>
          <w:rFonts w:ascii="Arial" w:hAnsi="Arial" w:cs="Arial"/>
        </w:rPr>
        <w:t xml:space="preserve">, la cifra ascendía a </w:t>
      </w:r>
      <w:r w:rsidR="002E28F7">
        <w:rPr>
          <w:rFonts w:ascii="Arial" w:hAnsi="Arial" w:cs="Arial"/>
        </w:rPr>
        <w:t>26.000,66</w:t>
      </w:r>
      <w:r>
        <w:rPr>
          <w:rFonts w:ascii="Arial" w:hAnsi="Arial" w:cs="Arial"/>
        </w:rPr>
        <w:t xml:space="preserve"> euros.</w:t>
      </w:r>
    </w:p>
    <w:p w14:paraId="3B49AE8E" w14:textId="77777777" w:rsidR="001A3D9D" w:rsidRDefault="009B0B40" w:rsidP="00190821">
      <w:pPr>
        <w:spacing w:before="200" w:line="276" w:lineRule="auto"/>
        <w:jc w:val="both"/>
        <w:rPr>
          <w:rFonts w:ascii="EurostileTMed" w:hAnsi="EurostileTMed"/>
          <w:b/>
          <w:color w:val="005BA6"/>
          <w:sz w:val="28"/>
          <w:szCs w:val="28"/>
        </w:rPr>
      </w:pPr>
      <w:r w:rsidRPr="00D03B41">
        <w:rPr>
          <w:rFonts w:ascii="Arial" w:hAnsi="Arial" w:cs="Arial"/>
        </w:rPr>
        <w:t xml:space="preserve">La partida 1 “Importe Neto de la cifra de negocios” de la cuenta de Pérdidas y Ganancias recoge los ingresos generados por la Sociedad por la prestación de servicios. El importe registrado este año asciende a </w:t>
      </w:r>
      <w:r w:rsidR="002E28F7">
        <w:rPr>
          <w:rFonts w:ascii="Arial" w:hAnsi="Arial" w:cs="Arial"/>
        </w:rPr>
        <w:t>6.543.509,68</w:t>
      </w:r>
      <w:r>
        <w:rPr>
          <w:rFonts w:ascii="Arial" w:hAnsi="Arial" w:cs="Arial"/>
        </w:rPr>
        <w:t xml:space="preserve"> euros (</w:t>
      </w:r>
      <w:r w:rsidR="002E28F7">
        <w:rPr>
          <w:rFonts w:ascii="Arial" w:hAnsi="Arial" w:cs="Arial"/>
        </w:rPr>
        <w:t>6.539.651,17</w:t>
      </w:r>
      <w:r w:rsidRPr="00D03B41">
        <w:rPr>
          <w:rFonts w:ascii="Arial" w:hAnsi="Arial" w:cs="Arial"/>
        </w:rPr>
        <w:t xml:space="preserve"> euros </w:t>
      </w:r>
      <w:r>
        <w:rPr>
          <w:rFonts w:ascii="Arial" w:hAnsi="Arial" w:cs="Arial"/>
        </w:rPr>
        <w:t>en 201</w:t>
      </w:r>
      <w:r w:rsidR="002E28F7">
        <w:rPr>
          <w:rFonts w:ascii="Arial" w:hAnsi="Arial" w:cs="Arial"/>
        </w:rPr>
        <w:t>8</w:t>
      </w:r>
      <w:r>
        <w:rPr>
          <w:rFonts w:ascii="Arial" w:hAnsi="Arial" w:cs="Arial"/>
        </w:rPr>
        <w:t xml:space="preserve">) de los cuales </w:t>
      </w:r>
      <w:r w:rsidR="002E28F7">
        <w:rPr>
          <w:rFonts w:ascii="Arial" w:hAnsi="Arial" w:cs="Arial"/>
        </w:rPr>
        <w:t>2.050.305,71</w:t>
      </w:r>
      <w:r>
        <w:rPr>
          <w:rFonts w:ascii="Arial" w:hAnsi="Arial" w:cs="Arial"/>
        </w:rPr>
        <w:t xml:space="preserve"> euros (</w:t>
      </w:r>
      <w:r w:rsidR="002E28F7">
        <w:rPr>
          <w:rFonts w:ascii="Arial" w:hAnsi="Arial" w:cs="Arial"/>
        </w:rPr>
        <w:t>1.732.917,26</w:t>
      </w:r>
      <w:r>
        <w:rPr>
          <w:rFonts w:ascii="Arial" w:hAnsi="Arial" w:cs="Arial"/>
        </w:rPr>
        <w:t xml:space="preserve"> euros en 201</w:t>
      </w:r>
      <w:r w:rsidR="002E28F7">
        <w:rPr>
          <w:rFonts w:ascii="Arial" w:hAnsi="Arial" w:cs="Arial"/>
        </w:rPr>
        <w:t>8</w:t>
      </w:r>
      <w:r>
        <w:rPr>
          <w:rFonts w:ascii="Arial" w:hAnsi="Arial" w:cs="Arial"/>
        </w:rPr>
        <w:t>)</w:t>
      </w:r>
      <w:r w:rsidRPr="00D03B41">
        <w:rPr>
          <w:rFonts w:ascii="Arial" w:hAnsi="Arial" w:cs="Arial"/>
        </w:rPr>
        <w:t xml:space="preserve"> corresponden a ingresos que se han facturado a la Administración de la C</w:t>
      </w:r>
      <w:r w:rsidR="00D9278C">
        <w:rPr>
          <w:rFonts w:ascii="Arial" w:hAnsi="Arial" w:cs="Arial"/>
        </w:rPr>
        <w:t xml:space="preserve">omunidad Foral y </w:t>
      </w:r>
      <w:r w:rsidR="002E28F7">
        <w:rPr>
          <w:rFonts w:ascii="Arial" w:hAnsi="Arial" w:cs="Arial"/>
        </w:rPr>
        <w:t>36.283,95</w:t>
      </w:r>
      <w:r w:rsidR="00D9278C">
        <w:rPr>
          <w:rFonts w:ascii="Arial" w:hAnsi="Arial" w:cs="Arial"/>
        </w:rPr>
        <w:t xml:space="preserve"> euros (</w:t>
      </w:r>
      <w:r w:rsidR="002E28F7">
        <w:rPr>
          <w:rFonts w:ascii="Arial" w:hAnsi="Arial" w:cs="Arial"/>
        </w:rPr>
        <w:t>26.000,66</w:t>
      </w:r>
      <w:r w:rsidR="00D9278C">
        <w:rPr>
          <w:rFonts w:ascii="Arial" w:hAnsi="Arial" w:cs="Arial"/>
        </w:rPr>
        <w:t xml:space="preserve"> euros en 201</w:t>
      </w:r>
      <w:r w:rsidR="002E28F7">
        <w:rPr>
          <w:rFonts w:ascii="Arial" w:hAnsi="Arial" w:cs="Arial"/>
        </w:rPr>
        <w:t>8</w:t>
      </w:r>
      <w:r w:rsidR="00D9278C">
        <w:rPr>
          <w:rFonts w:ascii="Arial" w:hAnsi="Arial" w:cs="Arial"/>
        </w:rPr>
        <w:t xml:space="preserve">) corresponden a ingresos facturados a empresas pertenecientes desde 2010 a la Corporación Pública Empresarial de Navarra. </w:t>
      </w:r>
    </w:p>
    <w:p w14:paraId="14BA4A9D" w14:textId="77777777" w:rsidR="000B1B88" w:rsidRPr="000B1B88" w:rsidRDefault="000B1B88" w:rsidP="00852006">
      <w:pPr>
        <w:spacing w:before="200" w:line="276" w:lineRule="auto"/>
        <w:jc w:val="both"/>
        <w:rPr>
          <w:rFonts w:ascii="EurostileTMed" w:hAnsi="EurostileTMed"/>
          <w:b/>
          <w:color w:val="005BA6"/>
          <w:sz w:val="28"/>
          <w:szCs w:val="28"/>
        </w:rPr>
      </w:pPr>
      <w:r w:rsidRPr="000B1B88">
        <w:rPr>
          <w:rFonts w:ascii="EurostileTMed" w:hAnsi="EurostileTMed"/>
          <w:b/>
          <w:color w:val="005BA6"/>
          <w:sz w:val="28"/>
          <w:szCs w:val="28"/>
        </w:rPr>
        <w:t xml:space="preserve">19.2 Condición de Ente Instrumental de la </w:t>
      </w:r>
      <w:r w:rsidR="00B007C0">
        <w:rPr>
          <w:rFonts w:ascii="EurostileTMed" w:hAnsi="EurostileTMed"/>
          <w:b/>
          <w:color w:val="005BA6"/>
          <w:sz w:val="28"/>
          <w:szCs w:val="28"/>
        </w:rPr>
        <w:t xml:space="preserve">Administración de la </w:t>
      </w:r>
      <w:r w:rsidRPr="000B1B88">
        <w:rPr>
          <w:rFonts w:ascii="EurostileTMed" w:hAnsi="EurostileTMed"/>
          <w:b/>
          <w:color w:val="005BA6"/>
          <w:sz w:val="28"/>
          <w:szCs w:val="28"/>
        </w:rPr>
        <w:t>Comunidad Foral de Navarra</w:t>
      </w:r>
    </w:p>
    <w:p w14:paraId="49CD3862" w14:textId="77777777" w:rsidR="000B1B88" w:rsidRDefault="007A441C" w:rsidP="00852006">
      <w:pPr>
        <w:tabs>
          <w:tab w:val="left" w:pos="720"/>
          <w:tab w:val="center" w:pos="4320"/>
        </w:tabs>
        <w:spacing w:before="200" w:line="276" w:lineRule="auto"/>
        <w:jc w:val="both"/>
        <w:rPr>
          <w:rFonts w:ascii="Arial" w:hAnsi="Arial" w:cs="Arial"/>
        </w:rPr>
      </w:pPr>
      <w:r>
        <w:rPr>
          <w:rFonts w:ascii="Arial" w:hAnsi="Arial" w:cs="Arial"/>
        </w:rPr>
        <w:t>La Sociedad tiene reconocida en la actualidad la condición de Ente Instrumental de la</w:t>
      </w:r>
      <w:r w:rsidR="00B007C0">
        <w:rPr>
          <w:rFonts w:ascii="Arial" w:hAnsi="Arial" w:cs="Arial"/>
        </w:rPr>
        <w:t xml:space="preserve"> Administración de la</w:t>
      </w:r>
      <w:r>
        <w:rPr>
          <w:rFonts w:ascii="Arial" w:hAnsi="Arial" w:cs="Arial"/>
        </w:rPr>
        <w:t xml:space="preserve"> Comunidad Foral de Navarra, por Acuerdo de Gobierno de </w:t>
      </w:r>
      <w:r w:rsidR="00170C96">
        <w:rPr>
          <w:rFonts w:ascii="Arial" w:hAnsi="Arial" w:cs="Arial"/>
        </w:rPr>
        <w:t>13 de abril de 2016.</w:t>
      </w:r>
    </w:p>
    <w:p w14:paraId="60F8EF27" w14:textId="77777777" w:rsidR="006C4C75" w:rsidRDefault="007A441C" w:rsidP="00852006">
      <w:pPr>
        <w:tabs>
          <w:tab w:val="left" w:pos="720"/>
          <w:tab w:val="center" w:pos="4320"/>
        </w:tabs>
        <w:spacing w:before="200" w:line="276" w:lineRule="auto"/>
        <w:jc w:val="both"/>
        <w:rPr>
          <w:rFonts w:ascii="Arial" w:hAnsi="Arial" w:cs="Arial"/>
        </w:rPr>
      </w:pPr>
      <w:r>
        <w:rPr>
          <w:rFonts w:ascii="Arial" w:hAnsi="Arial" w:cs="Arial"/>
        </w:rPr>
        <w:t xml:space="preserve">Las condiciones para la condición de ente instrumental vienen en la actualidad reguladas por  </w:t>
      </w:r>
      <w:r w:rsidR="00986FB3" w:rsidRPr="00986FB3">
        <w:rPr>
          <w:rFonts w:ascii="Arial" w:hAnsi="Arial" w:cs="Arial"/>
        </w:rPr>
        <w:t>la  Directiva Comunitaria 2014/24 de 26 de febrero</w:t>
      </w:r>
      <w:r w:rsidR="00986FB3">
        <w:rPr>
          <w:rFonts w:ascii="Arial" w:hAnsi="Arial" w:cs="Arial"/>
        </w:rPr>
        <w:t>.</w:t>
      </w:r>
      <w:r w:rsidR="006C4C75">
        <w:rPr>
          <w:rFonts w:ascii="Arial" w:hAnsi="Arial" w:cs="Arial"/>
        </w:rPr>
        <w:t xml:space="preserve"> Dicha directiva ha sido objeto de transposición en Navarra a través de la Ley Foral 2/2018, de 13 de abril, de Contratos Públicos que, en su artículo o.2, exige como uno de los requisitos para ostentar la condición de ente instrumental “que más del 80% de sus actividades se lleven a cabo en el ejercicio de los cometidos que le han sido confiados por el poder adjudicador que la controla o por otras personas jurídicas controlad</w:t>
      </w:r>
      <w:r w:rsidR="004F5581">
        <w:rPr>
          <w:rFonts w:ascii="Arial" w:hAnsi="Arial" w:cs="Arial"/>
        </w:rPr>
        <w:t>as por dicho poder adjudicador”.</w:t>
      </w:r>
    </w:p>
    <w:p w14:paraId="48FB860E" w14:textId="77777777" w:rsidR="00986FB3" w:rsidRDefault="00986FB3" w:rsidP="00852006">
      <w:pPr>
        <w:tabs>
          <w:tab w:val="left" w:pos="720"/>
          <w:tab w:val="center" w:pos="4320"/>
        </w:tabs>
        <w:spacing w:before="200" w:line="276" w:lineRule="auto"/>
        <w:jc w:val="both"/>
        <w:rPr>
          <w:rFonts w:ascii="Arial" w:hAnsi="Arial" w:cs="Arial"/>
        </w:rPr>
      </w:pPr>
      <w:r>
        <w:rPr>
          <w:rFonts w:ascii="Arial" w:hAnsi="Arial" w:cs="Arial"/>
        </w:rPr>
        <w:t>A estos efectos, se desglosan los ingresos de explotación derivados de las operaciones que la Sociedad ha realizado con la</w:t>
      </w:r>
      <w:r w:rsidR="00B007C0">
        <w:rPr>
          <w:rFonts w:ascii="Arial" w:hAnsi="Arial" w:cs="Arial"/>
        </w:rPr>
        <w:t xml:space="preserve"> Administración de la</w:t>
      </w:r>
      <w:r>
        <w:rPr>
          <w:rFonts w:ascii="Arial" w:hAnsi="Arial" w:cs="Arial"/>
        </w:rPr>
        <w:t xml:space="preserve"> Comunidad Foral en los tres últimos ejercicios:</w:t>
      </w:r>
    </w:p>
    <w:p w14:paraId="7452AD96" w14:textId="77777777" w:rsidR="00986FB3" w:rsidRDefault="00822578" w:rsidP="003F3421">
      <w:pPr>
        <w:tabs>
          <w:tab w:val="left" w:pos="720"/>
          <w:tab w:val="center" w:pos="4320"/>
        </w:tabs>
        <w:spacing w:before="200" w:line="276" w:lineRule="auto"/>
        <w:jc w:val="center"/>
      </w:pPr>
      <w:r w:rsidRPr="00822578">
        <w:rPr>
          <w:noProof/>
          <w:lang w:val="es-ES"/>
        </w:rPr>
        <w:drawing>
          <wp:inline distT="0" distB="0" distL="0" distR="0" wp14:anchorId="20101BCC" wp14:editId="2507242C">
            <wp:extent cx="5760085" cy="285182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60085" cy="2851824"/>
                    </a:xfrm>
                    <a:prstGeom prst="rect">
                      <a:avLst/>
                    </a:prstGeom>
                    <a:noFill/>
                    <a:ln>
                      <a:noFill/>
                    </a:ln>
                  </pic:spPr>
                </pic:pic>
              </a:graphicData>
            </a:graphic>
          </wp:inline>
        </w:drawing>
      </w:r>
    </w:p>
    <w:p w14:paraId="22DA3FEA" w14:textId="77777777" w:rsidR="00225EC8" w:rsidRDefault="00FF5F6C" w:rsidP="00F34289">
      <w:pPr>
        <w:tabs>
          <w:tab w:val="left" w:pos="720"/>
          <w:tab w:val="center" w:pos="4320"/>
        </w:tabs>
        <w:spacing w:before="200" w:line="276" w:lineRule="auto"/>
        <w:jc w:val="both"/>
        <w:rPr>
          <w:rFonts w:ascii="Arial" w:hAnsi="Arial" w:cs="Arial"/>
        </w:rPr>
      </w:pPr>
      <w:r w:rsidRPr="00F34289">
        <w:rPr>
          <w:rFonts w:ascii="Arial" w:hAnsi="Arial" w:cs="Arial"/>
        </w:rPr>
        <w:t xml:space="preserve">De las cifras anteriores se deduce que el conjunto de los ingresos procedentes de operaciones con la </w:t>
      </w:r>
      <w:r w:rsidR="00B007C0">
        <w:rPr>
          <w:rFonts w:ascii="Arial" w:hAnsi="Arial" w:cs="Arial"/>
        </w:rPr>
        <w:t xml:space="preserve">Administración de la </w:t>
      </w:r>
      <w:r w:rsidRPr="00F34289">
        <w:rPr>
          <w:rFonts w:ascii="Arial" w:hAnsi="Arial" w:cs="Arial"/>
        </w:rPr>
        <w:t xml:space="preserve">Comunidad Foral o vinculadas a sus decisiones suponen en promedio un </w:t>
      </w:r>
      <w:r w:rsidR="00225EC8">
        <w:rPr>
          <w:rFonts w:ascii="Arial" w:hAnsi="Arial" w:cs="Arial"/>
        </w:rPr>
        <w:t>85,</w:t>
      </w:r>
      <w:r w:rsidR="00822578">
        <w:rPr>
          <w:rFonts w:ascii="Arial" w:hAnsi="Arial" w:cs="Arial"/>
        </w:rPr>
        <w:t>34</w:t>
      </w:r>
      <w:r w:rsidRPr="00F34289">
        <w:rPr>
          <w:rFonts w:ascii="Arial" w:hAnsi="Arial" w:cs="Arial"/>
        </w:rPr>
        <w:t xml:space="preserve">% del total de ingresos de explotación en promedio. </w:t>
      </w:r>
    </w:p>
    <w:p w14:paraId="29D2C78E" w14:textId="77777777" w:rsidR="00561797" w:rsidRPr="00F34289" w:rsidRDefault="00D40DF4" w:rsidP="00F34289">
      <w:pPr>
        <w:tabs>
          <w:tab w:val="left" w:pos="720"/>
          <w:tab w:val="center" w:pos="4320"/>
        </w:tabs>
        <w:spacing w:before="200" w:line="276" w:lineRule="auto"/>
        <w:jc w:val="both"/>
        <w:rPr>
          <w:rFonts w:ascii="Arial" w:hAnsi="Arial" w:cs="Arial"/>
        </w:rPr>
      </w:pPr>
      <w:r w:rsidRPr="00F34289">
        <w:rPr>
          <w:rFonts w:ascii="Arial" w:hAnsi="Arial" w:cs="Arial"/>
        </w:rPr>
        <w:t xml:space="preserve">En el cuadro anterior no se han tenido en cuenta los </w:t>
      </w:r>
      <w:r w:rsidR="006B494B" w:rsidRPr="00F34289">
        <w:rPr>
          <w:rFonts w:ascii="Arial" w:hAnsi="Arial" w:cs="Arial"/>
        </w:rPr>
        <w:t>cánones</w:t>
      </w:r>
      <w:r w:rsidRPr="00F34289">
        <w:rPr>
          <w:rFonts w:ascii="Arial" w:hAnsi="Arial" w:cs="Arial"/>
        </w:rPr>
        <w:t xml:space="preserve"> facturados en virtud de los contratos concesional</w:t>
      </w:r>
      <w:r w:rsidR="00F34289">
        <w:rPr>
          <w:rFonts w:ascii="Arial" w:hAnsi="Arial" w:cs="Arial"/>
        </w:rPr>
        <w:t>es</w:t>
      </w:r>
      <w:r w:rsidRPr="00F34289">
        <w:rPr>
          <w:rFonts w:ascii="Arial" w:hAnsi="Arial" w:cs="Arial"/>
        </w:rPr>
        <w:t xml:space="preserve">, que se compensan sin pasar por cuenta de pérdidas y </w:t>
      </w:r>
      <w:r w:rsidR="006B494B" w:rsidRPr="00F34289">
        <w:rPr>
          <w:rFonts w:ascii="Arial" w:hAnsi="Arial" w:cs="Arial"/>
        </w:rPr>
        <w:t>ganancias</w:t>
      </w:r>
      <w:r w:rsidRPr="00F34289">
        <w:rPr>
          <w:rFonts w:ascii="Arial" w:hAnsi="Arial" w:cs="Arial"/>
        </w:rPr>
        <w:t xml:space="preserve"> y que han supuesto</w:t>
      </w:r>
      <w:r w:rsidR="00225EC8">
        <w:rPr>
          <w:rFonts w:ascii="Arial" w:hAnsi="Arial" w:cs="Arial"/>
        </w:rPr>
        <w:t xml:space="preserve"> </w:t>
      </w:r>
      <w:r w:rsidR="00561797">
        <w:rPr>
          <w:rFonts w:ascii="Arial" w:hAnsi="Arial" w:cs="Arial"/>
        </w:rPr>
        <w:t>18.453.859,23 en 2017</w:t>
      </w:r>
      <w:r w:rsidR="00822578">
        <w:rPr>
          <w:rFonts w:ascii="Arial" w:hAnsi="Arial" w:cs="Arial"/>
        </w:rPr>
        <w:t xml:space="preserve">, </w:t>
      </w:r>
      <w:r w:rsidR="00D81763">
        <w:rPr>
          <w:rFonts w:ascii="Arial" w:hAnsi="Arial" w:cs="Arial"/>
        </w:rPr>
        <w:t>20.153.526,87 en 2018</w:t>
      </w:r>
      <w:r w:rsidR="00822578">
        <w:rPr>
          <w:rFonts w:ascii="Arial" w:hAnsi="Arial" w:cs="Arial"/>
        </w:rPr>
        <w:t xml:space="preserve"> y 26.096.815,04 en 2019</w:t>
      </w:r>
      <w:r w:rsidRPr="00F34289">
        <w:rPr>
          <w:rFonts w:ascii="Arial" w:hAnsi="Arial" w:cs="Arial"/>
        </w:rPr>
        <w:t xml:space="preserve">. </w:t>
      </w:r>
    </w:p>
    <w:p w14:paraId="163E5A5F" w14:textId="77777777" w:rsidR="000E2CEB" w:rsidRDefault="000E2CEB">
      <w:pPr>
        <w:rPr>
          <w:rFonts w:ascii="EurostileTMed" w:hAnsi="EurostileTMed"/>
          <w:b/>
          <w:color w:val="005BA6"/>
          <w:sz w:val="28"/>
          <w:szCs w:val="28"/>
        </w:rPr>
      </w:pPr>
    </w:p>
    <w:p w14:paraId="711DA26F" w14:textId="77777777" w:rsidR="000B1B88" w:rsidRPr="007A441C" w:rsidRDefault="000B1B88" w:rsidP="007A441C">
      <w:pPr>
        <w:spacing w:before="200" w:line="276" w:lineRule="auto"/>
        <w:jc w:val="both"/>
        <w:rPr>
          <w:rFonts w:ascii="EurostileTMed" w:hAnsi="EurostileTMed"/>
          <w:b/>
          <w:color w:val="005BA6"/>
          <w:sz w:val="28"/>
          <w:szCs w:val="28"/>
        </w:rPr>
      </w:pPr>
      <w:r w:rsidRPr="007A441C">
        <w:rPr>
          <w:rFonts w:ascii="EurostileTMed" w:hAnsi="EurostileTMed"/>
          <w:b/>
          <w:color w:val="005BA6"/>
          <w:sz w:val="28"/>
          <w:szCs w:val="28"/>
        </w:rPr>
        <w:t xml:space="preserve">19.3 </w:t>
      </w:r>
      <w:r w:rsidR="007A441C" w:rsidRPr="007A441C">
        <w:rPr>
          <w:rFonts w:ascii="EurostileTMed" w:hAnsi="EurostileTMed"/>
          <w:b/>
          <w:color w:val="005BA6"/>
          <w:sz w:val="28"/>
          <w:szCs w:val="28"/>
        </w:rPr>
        <w:t>Consejo de Administración</w:t>
      </w:r>
    </w:p>
    <w:p w14:paraId="18ED77CF" w14:textId="77777777" w:rsidR="009B0B40" w:rsidRDefault="009B0B40" w:rsidP="00852006">
      <w:pPr>
        <w:tabs>
          <w:tab w:val="left" w:pos="720"/>
          <w:tab w:val="center" w:pos="4320"/>
        </w:tabs>
        <w:spacing w:before="200" w:line="276" w:lineRule="auto"/>
        <w:jc w:val="both"/>
        <w:rPr>
          <w:rFonts w:ascii="Arial" w:hAnsi="Arial" w:cs="Arial"/>
        </w:rPr>
      </w:pPr>
      <w:r w:rsidRPr="00106C31">
        <w:rPr>
          <w:rFonts w:ascii="Arial" w:hAnsi="Arial" w:cs="Arial"/>
        </w:rPr>
        <w:t>A 31 de diciembre de 201</w:t>
      </w:r>
      <w:r w:rsidR="000A25C5">
        <w:rPr>
          <w:rFonts w:ascii="Arial" w:hAnsi="Arial" w:cs="Arial"/>
        </w:rPr>
        <w:t>9</w:t>
      </w:r>
      <w:r w:rsidRPr="00106C31">
        <w:rPr>
          <w:rFonts w:ascii="Arial" w:hAnsi="Arial" w:cs="Arial"/>
        </w:rPr>
        <w:t xml:space="preserve"> el Consejo de Administración de INTIA, S.A. estaba formado por los siguientes miembros:</w:t>
      </w:r>
    </w:p>
    <w:p w14:paraId="691A00DC" w14:textId="77777777" w:rsidR="009B0B40" w:rsidRPr="00456C8E" w:rsidRDefault="007E464A" w:rsidP="007E464A">
      <w:pPr>
        <w:tabs>
          <w:tab w:val="left" w:pos="2268"/>
        </w:tabs>
        <w:spacing w:before="120" w:line="276" w:lineRule="auto"/>
        <w:ind w:firstLine="567"/>
        <w:jc w:val="both"/>
        <w:rPr>
          <w:rFonts w:ascii="Arial" w:hAnsi="Arial" w:cs="Arial"/>
        </w:rPr>
      </w:pPr>
      <w:r>
        <w:rPr>
          <w:rFonts w:ascii="Arial" w:hAnsi="Arial" w:cs="Arial"/>
        </w:rPr>
        <w:t xml:space="preserve">PRESIDENTE:      </w:t>
      </w:r>
      <w:r w:rsidR="009B0B40" w:rsidRPr="00456C8E">
        <w:rPr>
          <w:rFonts w:ascii="Arial" w:hAnsi="Arial" w:cs="Arial"/>
        </w:rPr>
        <w:t>Sr.</w:t>
      </w:r>
      <w:r>
        <w:rPr>
          <w:rFonts w:ascii="Arial" w:hAnsi="Arial" w:cs="Arial"/>
        </w:rPr>
        <w:t xml:space="preserve"> </w:t>
      </w:r>
      <w:r w:rsidR="009B0B40" w:rsidRPr="00456C8E">
        <w:rPr>
          <w:rFonts w:ascii="Arial" w:hAnsi="Arial" w:cs="Arial"/>
        </w:rPr>
        <w:t>D</w:t>
      </w:r>
      <w:r w:rsidR="00944BD6">
        <w:rPr>
          <w:rFonts w:ascii="Arial" w:hAnsi="Arial" w:cs="Arial"/>
        </w:rPr>
        <w:t>ña</w:t>
      </w:r>
      <w:r w:rsidR="009B0B40" w:rsidRPr="00456C8E">
        <w:rPr>
          <w:rFonts w:ascii="Arial" w:hAnsi="Arial" w:cs="Arial"/>
        </w:rPr>
        <w:t xml:space="preserve">.  </w:t>
      </w:r>
      <w:r w:rsidR="00B008DE">
        <w:rPr>
          <w:rFonts w:ascii="Arial" w:hAnsi="Arial" w:cs="Arial"/>
        </w:rPr>
        <w:t>Itziar Gómez López</w:t>
      </w:r>
    </w:p>
    <w:p w14:paraId="259FEEC3" w14:textId="77777777" w:rsidR="009B0B40" w:rsidRDefault="009B0B40" w:rsidP="007E464A">
      <w:pPr>
        <w:tabs>
          <w:tab w:val="left" w:pos="1985"/>
          <w:tab w:val="left" w:pos="2268"/>
        </w:tabs>
        <w:spacing w:before="120" w:line="276" w:lineRule="auto"/>
        <w:ind w:firstLine="567"/>
        <w:jc w:val="both"/>
        <w:rPr>
          <w:rFonts w:ascii="Arial" w:hAnsi="Arial" w:cs="Arial"/>
          <w:lang w:val="es-ES"/>
        </w:rPr>
      </w:pPr>
      <w:r w:rsidRPr="00456C8E">
        <w:rPr>
          <w:rFonts w:ascii="Arial" w:hAnsi="Arial" w:cs="Arial"/>
          <w:lang w:val="pt-PT"/>
        </w:rPr>
        <w:t xml:space="preserve">CONSEJEROS: </w:t>
      </w:r>
      <w:r w:rsidRPr="00456C8E">
        <w:rPr>
          <w:rFonts w:ascii="Arial" w:hAnsi="Arial" w:cs="Arial"/>
          <w:lang w:val="pt-PT"/>
        </w:rPr>
        <w:tab/>
      </w:r>
      <w:r w:rsidRPr="00F76063">
        <w:rPr>
          <w:rFonts w:ascii="Arial" w:hAnsi="Arial" w:cs="Arial"/>
          <w:lang w:val="es-ES"/>
        </w:rPr>
        <w:t xml:space="preserve">Sr. D. </w:t>
      </w:r>
      <w:r w:rsidR="00B008DE">
        <w:rPr>
          <w:rFonts w:ascii="Arial" w:hAnsi="Arial" w:cs="Arial"/>
          <w:lang w:val="es-ES"/>
        </w:rPr>
        <w:t>Bernardo Ciriza Pérez</w:t>
      </w:r>
    </w:p>
    <w:p w14:paraId="03976577" w14:textId="77777777" w:rsidR="00B008DE" w:rsidRDefault="00B008DE" w:rsidP="007E464A">
      <w:pPr>
        <w:tabs>
          <w:tab w:val="left" w:pos="1985"/>
          <w:tab w:val="left" w:pos="2268"/>
        </w:tabs>
        <w:spacing w:before="120" w:line="276" w:lineRule="auto"/>
        <w:ind w:firstLine="567"/>
        <w:jc w:val="both"/>
        <w:rPr>
          <w:rFonts w:ascii="Arial" w:hAnsi="Arial" w:cs="Arial"/>
          <w:lang w:val="es-ES"/>
        </w:rPr>
      </w:pPr>
      <w:r>
        <w:rPr>
          <w:rFonts w:ascii="Arial" w:hAnsi="Arial" w:cs="Arial"/>
          <w:lang w:val="es-ES"/>
        </w:rPr>
        <w:tab/>
      </w:r>
      <w:r>
        <w:rPr>
          <w:rFonts w:ascii="Arial" w:hAnsi="Arial" w:cs="Arial"/>
          <w:lang w:val="es-ES"/>
        </w:rPr>
        <w:tab/>
      </w:r>
      <w:r w:rsidRPr="00F76063">
        <w:rPr>
          <w:rFonts w:ascii="Arial" w:hAnsi="Arial" w:cs="Arial"/>
          <w:lang w:val="es-ES"/>
        </w:rPr>
        <w:t xml:space="preserve">Sr. D. </w:t>
      </w:r>
      <w:r>
        <w:rPr>
          <w:rFonts w:ascii="Arial" w:hAnsi="Arial" w:cs="Arial"/>
          <w:lang w:val="es-ES"/>
        </w:rPr>
        <w:t>Ignacio Gil Jordán</w:t>
      </w:r>
    </w:p>
    <w:p w14:paraId="621C49AA" w14:textId="77777777" w:rsidR="00B008DE" w:rsidRDefault="00B008DE" w:rsidP="007E464A">
      <w:pPr>
        <w:tabs>
          <w:tab w:val="left" w:pos="1985"/>
          <w:tab w:val="left" w:pos="2268"/>
        </w:tabs>
        <w:spacing w:before="120" w:line="276" w:lineRule="auto"/>
        <w:ind w:firstLine="567"/>
        <w:jc w:val="both"/>
        <w:rPr>
          <w:rFonts w:ascii="Arial" w:hAnsi="Arial" w:cs="Arial"/>
          <w:lang w:val="es-ES"/>
        </w:rPr>
      </w:pPr>
      <w:r>
        <w:rPr>
          <w:rFonts w:ascii="Arial" w:hAnsi="Arial" w:cs="Arial"/>
          <w:lang w:val="pt-PT"/>
        </w:rPr>
        <w:tab/>
      </w:r>
      <w:r>
        <w:rPr>
          <w:rFonts w:ascii="Arial" w:hAnsi="Arial" w:cs="Arial"/>
          <w:lang w:val="pt-PT"/>
        </w:rPr>
        <w:tab/>
      </w:r>
      <w:r w:rsidRPr="00F76063">
        <w:rPr>
          <w:rFonts w:ascii="Arial" w:hAnsi="Arial" w:cs="Arial"/>
          <w:lang w:val="es-ES"/>
        </w:rPr>
        <w:t xml:space="preserve">Sr. D. </w:t>
      </w:r>
      <w:r>
        <w:rPr>
          <w:rFonts w:ascii="Arial" w:hAnsi="Arial" w:cs="Arial"/>
          <w:lang w:val="es-ES"/>
        </w:rPr>
        <w:t>Fernando Santafé Aranda</w:t>
      </w:r>
    </w:p>
    <w:p w14:paraId="7242EAE0" w14:textId="77777777" w:rsidR="00B008DE" w:rsidRPr="00D62136" w:rsidRDefault="00B008DE" w:rsidP="007E464A">
      <w:pPr>
        <w:tabs>
          <w:tab w:val="left" w:pos="1985"/>
          <w:tab w:val="left" w:pos="2268"/>
        </w:tabs>
        <w:spacing w:before="120" w:line="276" w:lineRule="auto"/>
        <w:ind w:firstLine="567"/>
        <w:jc w:val="both"/>
        <w:rPr>
          <w:rFonts w:ascii="Arial" w:hAnsi="Arial" w:cs="Arial"/>
          <w:lang w:val="pt-PT"/>
        </w:rPr>
      </w:pPr>
      <w:r>
        <w:rPr>
          <w:rFonts w:ascii="Arial" w:hAnsi="Arial" w:cs="Arial"/>
          <w:lang w:val="pt-PT"/>
        </w:rPr>
        <w:tab/>
      </w:r>
      <w:r>
        <w:rPr>
          <w:rFonts w:ascii="Arial" w:hAnsi="Arial" w:cs="Arial"/>
          <w:lang w:val="pt-PT"/>
        </w:rPr>
        <w:tab/>
      </w:r>
      <w:r w:rsidRPr="00F76063">
        <w:rPr>
          <w:rFonts w:ascii="Arial" w:hAnsi="Arial" w:cs="Arial"/>
          <w:lang w:val="es-ES"/>
        </w:rPr>
        <w:t xml:space="preserve">Sr. D. </w:t>
      </w:r>
      <w:r>
        <w:rPr>
          <w:rFonts w:ascii="Arial" w:hAnsi="Arial" w:cs="Arial"/>
          <w:lang w:val="es-ES"/>
        </w:rPr>
        <w:t>Pablo Muñoz Trigo</w:t>
      </w:r>
    </w:p>
    <w:p w14:paraId="0C3997B4" w14:textId="77777777" w:rsidR="009B0B40" w:rsidRDefault="009B0B40" w:rsidP="007E464A">
      <w:pPr>
        <w:tabs>
          <w:tab w:val="left" w:pos="2268"/>
        </w:tabs>
        <w:spacing w:before="120" w:line="276" w:lineRule="auto"/>
        <w:ind w:firstLine="2268"/>
        <w:jc w:val="both"/>
        <w:rPr>
          <w:rFonts w:ascii="Arial" w:hAnsi="Arial" w:cs="Arial"/>
          <w:lang w:val="pt-PT"/>
        </w:rPr>
      </w:pPr>
      <w:r w:rsidRPr="00456C8E">
        <w:rPr>
          <w:rFonts w:ascii="Arial" w:hAnsi="Arial" w:cs="Arial"/>
          <w:lang w:val="pt-PT"/>
        </w:rPr>
        <w:t>Sr. D. Juan Pablo Rebolé Ruiz</w:t>
      </w:r>
    </w:p>
    <w:p w14:paraId="187D7F7A" w14:textId="77777777" w:rsidR="00944BD6" w:rsidRDefault="00944BD6" w:rsidP="007E464A">
      <w:pPr>
        <w:tabs>
          <w:tab w:val="left" w:pos="2268"/>
        </w:tabs>
        <w:spacing w:before="120" w:line="276" w:lineRule="auto"/>
        <w:ind w:firstLine="2268"/>
        <w:jc w:val="both"/>
        <w:rPr>
          <w:rFonts w:ascii="Arial" w:hAnsi="Arial" w:cs="Arial"/>
          <w:lang w:val="pt-PT"/>
        </w:rPr>
      </w:pPr>
      <w:r>
        <w:rPr>
          <w:rFonts w:ascii="Arial" w:hAnsi="Arial" w:cs="Arial"/>
          <w:lang w:val="pt-PT"/>
        </w:rPr>
        <w:t>Sr. D. Ruben Palacios Goñi</w:t>
      </w:r>
    </w:p>
    <w:p w14:paraId="21902FCF" w14:textId="77777777" w:rsidR="00CE0FC1" w:rsidRDefault="00CE0FC1" w:rsidP="00852006">
      <w:pPr>
        <w:spacing w:before="200" w:line="276" w:lineRule="auto"/>
        <w:jc w:val="both"/>
        <w:rPr>
          <w:rFonts w:ascii="Arial" w:hAnsi="Arial" w:cs="Arial"/>
        </w:rPr>
      </w:pPr>
    </w:p>
    <w:p w14:paraId="3386CC6D" w14:textId="77777777" w:rsidR="009B0B40" w:rsidRDefault="00A44728" w:rsidP="00852006">
      <w:pPr>
        <w:spacing w:before="200" w:line="276" w:lineRule="auto"/>
        <w:jc w:val="both"/>
        <w:rPr>
          <w:rFonts w:ascii="Arial" w:hAnsi="Arial" w:cs="Arial"/>
        </w:rPr>
      </w:pPr>
      <w:r>
        <w:rPr>
          <w:rFonts w:ascii="Arial" w:hAnsi="Arial" w:cs="Arial"/>
        </w:rPr>
        <w:t>De conformidad con el artículo 9.12 de la Ley Foral 1/2016, de 29 de enero, de Presupuestos Generales de Navarra para 2016, no procede el abono de las dietas a los miembros del Consejo de  Administración que ostenten la condición de Alto Cargo del Gobierno de Navarra, de acuerdo con la definición que se contempla en el artículo 2 de la Ley Foral 19/1996, de 4 de noviembre, de incompatibilidades de los miembros del Gobierno de Navarra y de los altos cargos de la Administración de la Comunidad Foral de Navarra.</w:t>
      </w:r>
    </w:p>
    <w:p w14:paraId="555D3C3A" w14:textId="77777777" w:rsidR="009B0B40" w:rsidRPr="004434EE" w:rsidRDefault="009B0B40" w:rsidP="00852006">
      <w:pPr>
        <w:pStyle w:val="Textoindependiente"/>
        <w:tabs>
          <w:tab w:val="clear" w:pos="720"/>
          <w:tab w:val="left" w:pos="4962"/>
        </w:tabs>
        <w:spacing w:before="200" w:line="276" w:lineRule="auto"/>
        <w:rPr>
          <w:rFonts w:ascii="Arial" w:hAnsi="Arial" w:cs="Arial"/>
        </w:rPr>
      </w:pPr>
      <w:r w:rsidRPr="004434EE">
        <w:rPr>
          <w:rFonts w:ascii="Arial" w:hAnsi="Arial" w:cs="Arial"/>
        </w:rPr>
        <w:t>Los administradores de la Sociedad han confirmado que no ejercen cargos o funciones en sociedades con el mismo, análogo o complementario género de actividad del que constituye el objeto social de la Sociedad ni realizan por cuenta propia o ajena, el mismo, análogo o complementario género de actividad del que constituye el objeto social de la Sociedad, ni tienen otras situaciones de conflicto, directo o indirecto, con el interés de la Sociedad.</w:t>
      </w:r>
    </w:p>
    <w:p w14:paraId="74DC539C" w14:textId="77777777" w:rsidR="009B0B40" w:rsidRPr="00DD2E24" w:rsidRDefault="009B0B40" w:rsidP="00852006">
      <w:pPr>
        <w:tabs>
          <w:tab w:val="right" w:pos="6237"/>
          <w:tab w:val="right" w:pos="8505"/>
        </w:tabs>
        <w:spacing w:before="200" w:line="276" w:lineRule="auto"/>
        <w:jc w:val="both"/>
        <w:rPr>
          <w:rFonts w:ascii="Arial" w:hAnsi="Arial" w:cs="Arial"/>
        </w:rPr>
      </w:pPr>
      <w:r w:rsidRPr="00DD2E24">
        <w:rPr>
          <w:rFonts w:ascii="Arial" w:hAnsi="Arial" w:cs="Arial"/>
          <w:snapToGrid w:val="0"/>
        </w:rPr>
        <w:t xml:space="preserve">La remuneración devengada en el curso del ejercicio, en concepto de salario, por el personal de alta dirección asciende a </w:t>
      </w:r>
      <w:r w:rsidR="00B008DE">
        <w:rPr>
          <w:rFonts w:ascii="Arial" w:hAnsi="Arial" w:cs="Arial"/>
          <w:snapToGrid w:val="0"/>
        </w:rPr>
        <w:t>64.134,48</w:t>
      </w:r>
      <w:r w:rsidRPr="00DD2E24">
        <w:rPr>
          <w:rFonts w:ascii="Arial" w:hAnsi="Arial" w:cs="Arial"/>
          <w:snapToGrid w:val="0"/>
        </w:rPr>
        <w:t xml:space="preserve"> euros. En 201</w:t>
      </w:r>
      <w:r w:rsidR="000A25C5">
        <w:rPr>
          <w:rFonts w:ascii="Arial" w:hAnsi="Arial" w:cs="Arial"/>
          <w:snapToGrid w:val="0"/>
        </w:rPr>
        <w:t>8</w:t>
      </w:r>
      <w:r w:rsidRPr="00DD2E24">
        <w:rPr>
          <w:rFonts w:ascii="Arial" w:hAnsi="Arial" w:cs="Arial"/>
          <w:snapToGrid w:val="0"/>
        </w:rPr>
        <w:t xml:space="preserve"> la cifra ascendía a </w:t>
      </w:r>
      <w:r w:rsidR="000A25C5">
        <w:rPr>
          <w:rFonts w:ascii="Arial" w:hAnsi="Arial" w:cs="Arial"/>
          <w:snapToGrid w:val="0"/>
        </w:rPr>
        <w:t>62.090,85</w:t>
      </w:r>
      <w:r w:rsidRPr="00DD2E24">
        <w:rPr>
          <w:rFonts w:ascii="Arial" w:hAnsi="Arial" w:cs="Arial"/>
          <w:snapToGrid w:val="0"/>
        </w:rPr>
        <w:t xml:space="preserve"> euros.</w:t>
      </w:r>
    </w:p>
    <w:p w14:paraId="43808002" w14:textId="77777777" w:rsidR="009B0B40" w:rsidRDefault="009B0B40" w:rsidP="00852006">
      <w:pPr>
        <w:spacing w:before="200" w:line="276" w:lineRule="auto"/>
        <w:jc w:val="both"/>
        <w:rPr>
          <w:rFonts w:ascii="Arial" w:hAnsi="Arial" w:cs="Arial"/>
        </w:rPr>
      </w:pPr>
      <w:r w:rsidRPr="00BE510E">
        <w:rPr>
          <w:rFonts w:ascii="Arial" w:hAnsi="Arial" w:cs="Arial"/>
        </w:rPr>
        <w:t>La Sociedad no tiene contraídas obligaciones en materia de pensiones y de seguros de vida respecto a los miembros antiguos y actuales del órgano de administración.</w:t>
      </w:r>
    </w:p>
    <w:p w14:paraId="33BB9BC7" w14:textId="77777777" w:rsidR="00EB12F8" w:rsidRPr="00EB12F8" w:rsidRDefault="00EB12F8" w:rsidP="00EB12F8">
      <w:pPr>
        <w:spacing w:before="240"/>
        <w:jc w:val="both"/>
        <w:rPr>
          <w:rFonts w:ascii="Arial" w:hAnsi="Arial" w:cs="Arial"/>
        </w:rPr>
      </w:pPr>
      <w:bookmarkStart w:id="22" w:name="_Toc350855629"/>
      <w:r w:rsidRPr="00EB12F8">
        <w:rPr>
          <w:rFonts w:ascii="Arial" w:hAnsi="Arial" w:cs="Arial"/>
        </w:rPr>
        <w:t>Durante el ejercicio 201</w:t>
      </w:r>
      <w:r w:rsidR="00B008DE">
        <w:rPr>
          <w:rFonts w:ascii="Arial" w:hAnsi="Arial" w:cs="Arial"/>
        </w:rPr>
        <w:t>9</w:t>
      </w:r>
      <w:r w:rsidRPr="00EB12F8">
        <w:rPr>
          <w:rFonts w:ascii="Arial" w:hAnsi="Arial" w:cs="Arial"/>
        </w:rPr>
        <w:t xml:space="preserve"> se han satisfecho primas de seguros de responsabilidad civil de los administradores por daños ocasionados en el ejercicio del cargo por importe de </w:t>
      </w:r>
      <w:r w:rsidR="00B008DE">
        <w:rPr>
          <w:rFonts w:ascii="Arial" w:hAnsi="Arial" w:cs="Arial"/>
        </w:rPr>
        <w:t>2.852,73</w:t>
      </w:r>
      <w:r w:rsidRPr="00EB12F8">
        <w:rPr>
          <w:rFonts w:ascii="Arial" w:hAnsi="Arial" w:cs="Arial"/>
        </w:rPr>
        <w:t xml:space="preserve"> euros.</w:t>
      </w:r>
    </w:p>
    <w:p w14:paraId="3F53ECF9" w14:textId="77777777" w:rsidR="002D71D7" w:rsidRDefault="002D71D7">
      <w:pPr>
        <w:rPr>
          <w:rFonts w:ascii="EurostileT" w:hAnsi="EurostileT"/>
          <w:b/>
          <w:bCs/>
          <w:color w:val="005BA6"/>
          <w:kern w:val="32"/>
          <w:sz w:val="28"/>
          <w:szCs w:val="28"/>
        </w:rPr>
      </w:pPr>
      <w:r>
        <w:rPr>
          <w:rFonts w:ascii="EurostileT" w:hAnsi="EurostileT"/>
          <w:color w:val="005BA6"/>
          <w:sz w:val="28"/>
          <w:szCs w:val="28"/>
        </w:rPr>
        <w:br w:type="page"/>
      </w:r>
    </w:p>
    <w:p w14:paraId="11B6D178" w14:textId="77777777" w:rsidR="009B0B40" w:rsidRPr="0013770B" w:rsidRDefault="009B0B40" w:rsidP="00852006">
      <w:pPr>
        <w:pStyle w:val="Ttulo1"/>
        <w:spacing w:before="200" w:line="276" w:lineRule="auto"/>
        <w:rPr>
          <w:rFonts w:ascii="EurostileT" w:hAnsi="EurostileT"/>
          <w:color w:val="005BA6"/>
          <w:sz w:val="28"/>
          <w:szCs w:val="28"/>
        </w:rPr>
      </w:pPr>
      <w:r w:rsidRPr="0013770B">
        <w:rPr>
          <w:rFonts w:ascii="EurostileT" w:hAnsi="EurostileT"/>
          <w:color w:val="005BA6"/>
          <w:sz w:val="28"/>
          <w:szCs w:val="28"/>
        </w:rPr>
        <w:t>20. OTRA INFORMACION</w:t>
      </w:r>
      <w:bookmarkEnd w:id="22"/>
    </w:p>
    <w:p w14:paraId="2D8EA73C" w14:textId="77777777" w:rsidR="009B0B40" w:rsidRDefault="009B0B40" w:rsidP="00852006">
      <w:pPr>
        <w:spacing w:before="200" w:line="276" w:lineRule="auto"/>
        <w:jc w:val="both"/>
        <w:rPr>
          <w:rFonts w:ascii="Arial" w:hAnsi="Arial" w:cs="Arial"/>
        </w:rPr>
      </w:pPr>
      <w:r>
        <w:rPr>
          <w:rFonts w:ascii="Arial" w:hAnsi="Arial" w:cs="Arial"/>
        </w:rPr>
        <w:t xml:space="preserve">El personal a 31 de diciembre de </w:t>
      </w:r>
      <w:r w:rsidR="00B008DE">
        <w:rPr>
          <w:rFonts w:ascii="Arial" w:hAnsi="Arial" w:cs="Arial"/>
        </w:rPr>
        <w:t>2019 y 2018</w:t>
      </w:r>
      <w:r>
        <w:rPr>
          <w:rFonts w:ascii="Arial" w:hAnsi="Arial" w:cs="Arial"/>
        </w:rPr>
        <w:t xml:space="preserve">  se detalla en la siguiente tabla:</w:t>
      </w:r>
    </w:p>
    <w:p w14:paraId="54B27CF1" w14:textId="77777777" w:rsidR="0002741D" w:rsidRDefault="000A1C63" w:rsidP="005F47B8">
      <w:pPr>
        <w:spacing w:before="200" w:line="276" w:lineRule="auto"/>
        <w:jc w:val="both"/>
        <w:rPr>
          <w:rFonts w:ascii="Arial" w:hAnsi="Arial" w:cs="Arial"/>
        </w:rPr>
      </w:pPr>
      <w:r w:rsidRPr="000A1C63">
        <w:rPr>
          <w:noProof/>
          <w:lang w:val="es-ES"/>
        </w:rPr>
        <w:drawing>
          <wp:inline distT="0" distB="0" distL="0" distR="0" wp14:anchorId="1E037544" wp14:editId="05B67DE9">
            <wp:extent cx="4804750" cy="1020111"/>
            <wp:effectExtent l="0" t="0" r="0" b="889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03157" cy="1019773"/>
                    </a:xfrm>
                    <a:prstGeom prst="rect">
                      <a:avLst/>
                    </a:prstGeom>
                    <a:noFill/>
                    <a:ln>
                      <a:noFill/>
                    </a:ln>
                  </pic:spPr>
                </pic:pic>
              </a:graphicData>
            </a:graphic>
          </wp:inline>
        </w:drawing>
      </w:r>
    </w:p>
    <w:p w14:paraId="5E7002B7" w14:textId="77777777" w:rsidR="009B0B40" w:rsidRDefault="009B0B40" w:rsidP="005F47B8">
      <w:pPr>
        <w:spacing w:before="200" w:line="276" w:lineRule="auto"/>
        <w:jc w:val="both"/>
        <w:rPr>
          <w:rFonts w:ascii="Arial" w:hAnsi="Arial" w:cs="Arial"/>
        </w:rPr>
      </w:pPr>
      <w:r w:rsidRPr="002C2C0F">
        <w:rPr>
          <w:rFonts w:ascii="Arial" w:hAnsi="Arial" w:cs="Arial"/>
        </w:rPr>
        <w:t xml:space="preserve">El número medio de personas empleadas </w:t>
      </w:r>
      <w:r>
        <w:rPr>
          <w:rFonts w:ascii="Arial" w:hAnsi="Arial" w:cs="Arial"/>
        </w:rPr>
        <w:t>en el curso del ejercicio expresado por categorías:</w:t>
      </w:r>
    </w:p>
    <w:p w14:paraId="0A25062B" w14:textId="77777777" w:rsidR="000E2CEB" w:rsidRDefault="000A1C63" w:rsidP="00356EE2">
      <w:pPr>
        <w:spacing w:before="200" w:line="276" w:lineRule="auto"/>
        <w:jc w:val="center"/>
        <w:rPr>
          <w:rFonts w:ascii="Arial" w:hAnsi="Arial" w:cs="Arial"/>
        </w:rPr>
      </w:pPr>
      <w:r w:rsidRPr="000A1C63">
        <w:rPr>
          <w:noProof/>
          <w:lang w:val="es-ES"/>
        </w:rPr>
        <w:drawing>
          <wp:inline distT="0" distB="0" distL="0" distR="0" wp14:anchorId="4508FCB5" wp14:editId="04D373EA">
            <wp:extent cx="3319325" cy="1258078"/>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19611" cy="1258186"/>
                    </a:xfrm>
                    <a:prstGeom prst="rect">
                      <a:avLst/>
                    </a:prstGeom>
                    <a:noFill/>
                    <a:ln>
                      <a:noFill/>
                    </a:ln>
                  </pic:spPr>
                </pic:pic>
              </a:graphicData>
            </a:graphic>
          </wp:inline>
        </w:drawing>
      </w:r>
    </w:p>
    <w:p w14:paraId="496A5160" w14:textId="77777777" w:rsidR="00356EE2" w:rsidRPr="00C50C64" w:rsidRDefault="007A6563" w:rsidP="005F47B8">
      <w:pPr>
        <w:spacing w:before="200" w:line="276" w:lineRule="auto"/>
        <w:jc w:val="both"/>
        <w:rPr>
          <w:rFonts w:ascii="Arial" w:hAnsi="Arial" w:cs="Arial"/>
        </w:rPr>
      </w:pPr>
      <w:r>
        <w:rPr>
          <w:rFonts w:ascii="Arial" w:hAnsi="Arial" w:cs="Arial"/>
        </w:rPr>
        <w:t xml:space="preserve">Tres son los empleados con </w:t>
      </w:r>
      <w:r w:rsidR="00EB5468" w:rsidRPr="00C50C64">
        <w:rPr>
          <w:rFonts w:ascii="Arial" w:hAnsi="Arial" w:cs="Arial"/>
        </w:rPr>
        <w:t xml:space="preserve"> discapacidad &gt;33% empleadas</w:t>
      </w:r>
      <w:r w:rsidR="008803F2" w:rsidRPr="00C50C64">
        <w:rPr>
          <w:rFonts w:ascii="Arial" w:hAnsi="Arial" w:cs="Arial"/>
        </w:rPr>
        <w:t xml:space="preserve"> en la Sociedad.</w:t>
      </w:r>
    </w:p>
    <w:p w14:paraId="0EC09ABB" w14:textId="77777777" w:rsidR="009B0B40" w:rsidRPr="00C50C64" w:rsidRDefault="002E640A" w:rsidP="0027326E">
      <w:pPr>
        <w:spacing w:before="200" w:line="276" w:lineRule="auto"/>
        <w:jc w:val="both"/>
        <w:rPr>
          <w:rFonts w:ascii="Arial" w:hAnsi="Arial" w:cs="Arial"/>
        </w:rPr>
      </w:pPr>
      <w:r w:rsidRPr="00C50C64">
        <w:rPr>
          <w:rFonts w:ascii="Arial" w:hAnsi="Arial" w:cs="Arial"/>
        </w:rPr>
        <w:t>El Consejo de D</w:t>
      </w:r>
      <w:r w:rsidR="009B0B40" w:rsidRPr="00C50C64">
        <w:rPr>
          <w:rFonts w:ascii="Arial" w:hAnsi="Arial" w:cs="Arial"/>
        </w:rPr>
        <w:t xml:space="preserve">irección de la Sociedad está integrado por </w:t>
      </w:r>
      <w:r w:rsidR="00D92BEF">
        <w:rPr>
          <w:rFonts w:ascii="Arial" w:hAnsi="Arial" w:cs="Arial"/>
        </w:rPr>
        <w:t>7</w:t>
      </w:r>
      <w:r w:rsidR="009B0B40" w:rsidRPr="00C50C64">
        <w:rPr>
          <w:rFonts w:ascii="Arial" w:hAnsi="Arial" w:cs="Arial"/>
        </w:rPr>
        <w:t xml:space="preserve"> </w:t>
      </w:r>
      <w:r w:rsidR="00EC10FD" w:rsidRPr="00C50C64">
        <w:rPr>
          <w:rFonts w:ascii="Arial" w:hAnsi="Arial" w:cs="Arial"/>
        </w:rPr>
        <w:t>consejeros.</w:t>
      </w:r>
    </w:p>
    <w:p w14:paraId="0DFCBD05" w14:textId="77777777" w:rsidR="009B0B40" w:rsidRDefault="009B0B40" w:rsidP="000764EC">
      <w:pPr>
        <w:pStyle w:val="Sangradetextonormal"/>
        <w:spacing w:before="200" w:line="276" w:lineRule="auto"/>
        <w:ind w:firstLine="0"/>
        <w:rPr>
          <w:rFonts w:ascii="Arial" w:hAnsi="Arial" w:cs="Arial"/>
        </w:rPr>
      </w:pPr>
      <w:r w:rsidRPr="00C50C64">
        <w:rPr>
          <w:rFonts w:ascii="Arial" w:hAnsi="Arial" w:cs="Arial"/>
        </w:rPr>
        <w:t xml:space="preserve">Los honorarios acordados con el auditor </w:t>
      </w:r>
      <w:r w:rsidR="00280F4E">
        <w:rPr>
          <w:rFonts w:ascii="Arial" w:hAnsi="Arial" w:cs="Arial"/>
        </w:rPr>
        <w:t>PKF ATTEST</w:t>
      </w:r>
      <w:r w:rsidRPr="00C50C64">
        <w:rPr>
          <w:rFonts w:ascii="Arial" w:hAnsi="Arial" w:cs="Arial"/>
        </w:rPr>
        <w:t xml:space="preserve"> por la revisión de las cuentas anuales del ejercicio 201</w:t>
      </w:r>
      <w:r w:rsidR="00280F4E">
        <w:rPr>
          <w:rFonts w:ascii="Arial" w:hAnsi="Arial" w:cs="Arial"/>
        </w:rPr>
        <w:t>9</w:t>
      </w:r>
      <w:r w:rsidRPr="00C50C64">
        <w:rPr>
          <w:rFonts w:ascii="Arial" w:hAnsi="Arial" w:cs="Arial"/>
        </w:rPr>
        <w:t xml:space="preserve"> ascienden a </w:t>
      </w:r>
      <w:r w:rsidR="00280F4E">
        <w:rPr>
          <w:rFonts w:ascii="Arial" w:hAnsi="Arial" w:cs="Arial"/>
        </w:rPr>
        <w:t>6.045</w:t>
      </w:r>
      <w:r w:rsidRPr="00C50C64">
        <w:rPr>
          <w:rFonts w:ascii="Arial" w:hAnsi="Arial" w:cs="Arial"/>
        </w:rPr>
        <w:t xml:space="preserve"> euros (</w:t>
      </w:r>
      <w:r w:rsidR="00280F4E">
        <w:rPr>
          <w:rFonts w:ascii="Arial" w:hAnsi="Arial" w:cs="Arial"/>
        </w:rPr>
        <w:t>8.038 en 2018</w:t>
      </w:r>
      <w:r w:rsidR="00D92BEF">
        <w:rPr>
          <w:rFonts w:ascii="Arial" w:hAnsi="Arial" w:cs="Arial"/>
        </w:rPr>
        <w:t xml:space="preserve"> realizada por E</w:t>
      </w:r>
      <w:r w:rsidR="000E2CEB">
        <w:rPr>
          <w:rFonts w:ascii="Arial" w:hAnsi="Arial" w:cs="Arial"/>
        </w:rPr>
        <w:t>rnst &amp; Young</w:t>
      </w:r>
      <w:r w:rsidRPr="00C50C64">
        <w:rPr>
          <w:rFonts w:ascii="Arial" w:hAnsi="Arial" w:cs="Arial"/>
        </w:rPr>
        <w:t xml:space="preserve">) a los que se adicionarán los tributos correspondientes. </w:t>
      </w:r>
    </w:p>
    <w:p w14:paraId="33EC2E6D" w14:textId="77777777" w:rsidR="00FF685D" w:rsidRDefault="00FF685D" w:rsidP="000764EC">
      <w:pPr>
        <w:pStyle w:val="Sangradetextonormal"/>
        <w:spacing w:before="200" w:line="276" w:lineRule="auto"/>
        <w:ind w:firstLine="0"/>
        <w:rPr>
          <w:rFonts w:ascii="Arial" w:hAnsi="Arial" w:cs="Arial"/>
        </w:rPr>
      </w:pPr>
    </w:p>
    <w:p w14:paraId="06BDDBA0" w14:textId="77777777" w:rsidR="00FF685D" w:rsidRPr="0013770B" w:rsidRDefault="00FF685D" w:rsidP="00FF685D">
      <w:pPr>
        <w:pStyle w:val="Ttulo1"/>
        <w:spacing w:before="200" w:line="276" w:lineRule="auto"/>
        <w:jc w:val="both"/>
        <w:rPr>
          <w:rFonts w:ascii="EurostileT" w:hAnsi="EurostileT"/>
          <w:color w:val="005BA6"/>
          <w:sz w:val="28"/>
          <w:szCs w:val="28"/>
        </w:rPr>
      </w:pPr>
      <w:r w:rsidRPr="0013770B">
        <w:rPr>
          <w:rFonts w:ascii="EurostileT" w:hAnsi="EurostileT"/>
          <w:color w:val="005BA6"/>
          <w:sz w:val="28"/>
          <w:szCs w:val="28"/>
        </w:rPr>
        <w:t xml:space="preserve">21. </w:t>
      </w:r>
      <w:r>
        <w:rPr>
          <w:rFonts w:ascii="EurostileT" w:hAnsi="EurostileT"/>
          <w:color w:val="005BA6"/>
          <w:sz w:val="28"/>
          <w:szCs w:val="28"/>
        </w:rPr>
        <w:tab/>
        <w:t>INFORMACION SOBRE LA NATURALEZA Y EL NIVEL DE RIESGO PROCEDENTE DE INSTRUMENTOS FINANCIEROS</w:t>
      </w:r>
    </w:p>
    <w:p w14:paraId="3C9F3C4D" w14:textId="77777777" w:rsidR="00FF685D" w:rsidRDefault="00FF685D" w:rsidP="00FF685D">
      <w:pPr>
        <w:pStyle w:val="Sangradetextonormal"/>
        <w:spacing w:before="200" w:line="276" w:lineRule="auto"/>
        <w:ind w:firstLine="0"/>
        <w:rPr>
          <w:rFonts w:ascii="Arial" w:hAnsi="Arial" w:cs="Arial"/>
        </w:rPr>
      </w:pPr>
      <w:r>
        <w:rPr>
          <w:rFonts w:ascii="Arial" w:hAnsi="Arial" w:cs="Arial"/>
        </w:rPr>
        <w:t>Las políticas de gestión de riesgos de la Sociedad son establecidas por la Dirección de la Sociedad. En base a estas políticas, se ha establecido una serie de procedimientos y controles que permiten identificar, medir y gestionar los riesgos derivados de la actividad con instrumentos financieros</w:t>
      </w:r>
      <w:r w:rsidRPr="00C50C64">
        <w:rPr>
          <w:rFonts w:ascii="Arial" w:hAnsi="Arial" w:cs="Arial"/>
        </w:rPr>
        <w:t>.</w:t>
      </w:r>
    </w:p>
    <w:p w14:paraId="43D93222" w14:textId="77777777" w:rsidR="00FF685D" w:rsidRDefault="00FF685D" w:rsidP="00FF685D">
      <w:pPr>
        <w:pStyle w:val="Sangradetextonormal"/>
        <w:spacing w:before="200" w:line="276" w:lineRule="auto"/>
        <w:ind w:firstLine="0"/>
        <w:rPr>
          <w:rFonts w:ascii="Arial" w:hAnsi="Arial" w:cs="Arial"/>
        </w:rPr>
      </w:pPr>
      <w:r>
        <w:rPr>
          <w:rFonts w:ascii="Arial" w:hAnsi="Arial" w:cs="Arial"/>
        </w:rPr>
        <w:t>La actividad con instrumentos financieros exponen a la Sociedad al riesgo de crédito, de mercado y de liquidez.</w:t>
      </w:r>
    </w:p>
    <w:p w14:paraId="7E652C39" w14:textId="77777777" w:rsidR="00FF685D" w:rsidRDefault="00FF685D" w:rsidP="00FF685D">
      <w:pPr>
        <w:pStyle w:val="Sangradetextonormal"/>
        <w:spacing w:before="200" w:line="276" w:lineRule="auto"/>
        <w:ind w:firstLine="0"/>
        <w:rPr>
          <w:rFonts w:ascii="Arial" w:hAnsi="Arial" w:cs="Arial"/>
        </w:rPr>
      </w:pPr>
    </w:p>
    <w:p w14:paraId="0A5E79CD" w14:textId="77777777" w:rsidR="00FF685D" w:rsidRDefault="00FF685D" w:rsidP="00FF685D">
      <w:pPr>
        <w:pStyle w:val="Sangradetextonormal"/>
        <w:spacing w:before="200" w:line="276" w:lineRule="auto"/>
        <w:ind w:firstLine="0"/>
        <w:rPr>
          <w:rFonts w:ascii="Arial" w:hAnsi="Arial" w:cs="Arial"/>
          <w:b/>
          <w:u w:val="single"/>
        </w:rPr>
      </w:pPr>
      <w:r>
        <w:rPr>
          <w:rFonts w:ascii="Arial" w:hAnsi="Arial" w:cs="Arial"/>
          <w:b/>
          <w:u w:val="single"/>
        </w:rPr>
        <w:t>Riesgo de crédito</w:t>
      </w:r>
    </w:p>
    <w:p w14:paraId="657360F2" w14:textId="77777777" w:rsidR="00FF685D" w:rsidRDefault="00FF685D" w:rsidP="00FF685D">
      <w:pPr>
        <w:pStyle w:val="Sangradetextonormal"/>
        <w:spacing w:before="200" w:line="276" w:lineRule="auto"/>
        <w:ind w:firstLine="0"/>
        <w:rPr>
          <w:rFonts w:ascii="Arial" w:hAnsi="Arial" w:cs="Arial"/>
        </w:rPr>
      </w:pPr>
      <w:r>
        <w:rPr>
          <w:rFonts w:ascii="Arial" w:hAnsi="Arial" w:cs="Arial"/>
        </w:rPr>
        <w:t>El riesgo de crédito se produce por la posible pérdida causada por el incumplimiento de las obligaciones contractuales de las contrapartes de la Sociedad, es decir, por la posibilidad de no recuperar los activos financieros por el importe contabilizado y en el plazo establecido.</w:t>
      </w:r>
    </w:p>
    <w:p w14:paraId="165B1BF4" w14:textId="77777777" w:rsidR="002D71D7" w:rsidRDefault="002D71D7">
      <w:pPr>
        <w:rPr>
          <w:rFonts w:ascii="Arial" w:hAnsi="Arial" w:cs="Arial"/>
        </w:rPr>
      </w:pPr>
      <w:r>
        <w:rPr>
          <w:rFonts w:ascii="Arial" w:hAnsi="Arial" w:cs="Arial"/>
        </w:rPr>
        <w:br w:type="page"/>
      </w:r>
    </w:p>
    <w:p w14:paraId="404C12AB" w14:textId="77777777" w:rsidR="00FF685D" w:rsidRDefault="00FF685D" w:rsidP="00FF685D">
      <w:pPr>
        <w:pStyle w:val="Sangradetextonormal"/>
        <w:spacing w:before="200" w:line="276" w:lineRule="auto"/>
        <w:ind w:firstLine="0"/>
        <w:rPr>
          <w:rFonts w:ascii="Arial" w:hAnsi="Arial" w:cs="Arial"/>
        </w:rPr>
      </w:pPr>
      <w:r>
        <w:rPr>
          <w:rFonts w:ascii="Arial" w:hAnsi="Arial" w:cs="Arial"/>
        </w:rPr>
        <w:t>La exposición máxima al riesgo de crédito al 31 de diciembre de 2019 y 2018 es el siguiente:</w:t>
      </w:r>
    </w:p>
    <w:p w14:paraId="4174F859" w14:textId="77777777" w:rsidR="00FF685D" w:rsidRPr="00FF685D" w:rsidRDefault="00036AD7" w:rsidP="00036AD7">
      <w:pPr>
        <w:pStyle w:val="Sangradetextonormal"/>
        <w:spacing w:before="200" w:line="276" w:lineRule="auto"/>
        <w:ind w:firstLine="0"/>
        <w:jc w:val="center"/>
        <w:rPr>
          <w:rFonts w:ascii="Arial" w:hAnsi="Arial" w:cs="Arial"/>
        </w:rPr>
      </w:pPr>
      <w:r w:rsidRPr="00036AD7">
        <w:rPr>
          <w:noProof/>
          <w:lang w:val="es-ES"/>
        </w:rPr>
        <w:drawing>
          <wp:inline distT="0" distB="0" distL="0" distR="0" wp14:anchorId="3F128869" wp14:editId="45080B05">
            <wp:extent cx="4724400" cy="106106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24400" cy="1061063"/>
                    </a:xfrm>
                    <a:prstGeom prst="rect">
                      <a:avLst/>
                    </a:prstGeom>
                    <a:noFill/>
                    <a:ln>
                      <a:noFill/>
                    </a:ln>
                  </pic:spPr>
                </pic:pic>
              </a:graphicData>
            </a:graphic>
          </wp:inline>
        </w:drawing>
      </w:r>
    </w:p>
    <w:p w14:paraId="3F683A16" w14:textId="77777777" w:rsidR="00FF685D" w:rsidRDefault="00FF685D" w:rsidP="000764EC">
      <w:pPr>
        <w:pStyle w:val="Sangradetextonormal"/>
        <w:spacing w:before="200" w:line="276" w:lineRule="auto"/>
        <w:ind w:firstLine="0"/>
        <w:rPr>
          <w:rFonts w:ascii="Arial" w:hAnsi="Arial" w:cs="Arial"/>
        </w:rPr>
      </w:pPr>
    </w:p>
    <w:p w14:paraId="1C8929F9" w14:textId="77777777" w:rsidR="00FF685D" w:rsidRDefault="00036AD7" w:rsidP="000764EC">
      <w:pPr>
        <w:pStyle w:val="Sangradetextonormal"/>
        <w:spacing w:before="200" w:line="276" w:lineRule="auto"/>
        <w:ind w:firstLine="0"/>
        <w:rPr>
          <w:rFonts w:ascii="Arial" w:hAnsi="Arial" w:cs="Arial"/>
        </w:rPr>
      </w:pPr>
      <w:r>
        <w:rPr>
          <w:rFonts w:ascii="Arial" w:hAnsi="Arial" w:cs="Arial"/>
        </w:rPr>
        <w:t>Para gestionar el riesgo de crédito la Sociedad distingue entre los activos financieros originados por las operaciones operativas y por las actividades de inversión.</w:t>
      </w:r>
    </w:p>
    <w:p w14:paraId="551BEFFA" w14:textId="77777777" w:rsidR="00036AD7" w:rsidRDefault="00036AD7" w:rsidP="000764EC">
      <w:pPr>
        <w:pStyle w:val="Sangradetextonormal"/>
        <w:spacing w:before="200" w:line="276" w:lineRule="auto"/>
        <w:ind w:firstLine="0"/>
        <w:rPr>
          <w:rFonts w:ascii="Arial" w:hAnsi="Arial" w:cs="Arial"/>
          <w:u w:val="single"/>
        </w:rPr>
      </w:pPr>
      <w:r>
        <w:rPr>
          <w:rFonts w:ascii="Arial" w:hAnsi="Arial" w:cs="Arial"/>
          <w:u w:val="single"/>
        </w:rPr>
        <w:t>Actividades operativas</w:t>
      </w:r>
    </w:p>
    <w:p w14:paraId="2BD21E57" w14:textId="77777777" w:rsidR="00036AD7" w:rsidRDefault="00036AD7" w:rsidP="000764EC">
      <w:pPr>
        <w:pStyle w:val="Sangradetextonormal"/>
        <w:spacing w:before="200" w:line="276" w:lineRule="auto"/>
        <w:ind w:firstLine="0"/>
        <w:rPr>
          <w:rFonts w:ascii="Arial" w:hAnsi="Arial" w:cs="Arial"/>
        </w:rPr>
      </w:pPr>
      <w:r>
        <w:rPr>
          <w:rFonts w:ascii="Arial" w:hAnsi="Arial" w:cs="Arial"/>
        </w:rPr>
        <w:t>La Dirección de la Sociedad no establece ningún tipo de límite de crédito, al tratarse el Gobierno de Navarra el cliente mayoritario, y se considera asegurado el cobro.</w:t>
      </w:r>
    </w:p>
    <w:p w14:paraId="36E2C540" w14:textId="77777777" w:rsidR="00036AD7" w:rsidRDefault="00036AD7" w:rsidP="000764EC">
      <w:pPr>
        <w:pStyle w:val="Sangradetextonormal"/>
        <w:spacing w:before="200" w:line="276" w:lineRule="auto"/>
        <w:ind w:firstLine="0"/>
        <w:rPr>
          <w:rFonts w:ascii="Arial" w:hAnsi="Arial" w:cs="Arial"/>
          <w:u w:val="single"/>
        </w:rPr>
      </w:pPr>
      <w:r>
        <w:rPr>
          <w:rFonts w:ascii="Arial" w:hAnsi="Arial" w:cs="Arial"/>
          <w:u w:val="single"/>
        </w:rPr>
        <w:t>Actividades de inversión</w:t>
      </w:r>
    </w:p>
    <w:p w14:paraId="34B5F354" w14:textId="77777777" w:rsidR="00036AD7" w:rsidRDefault="00036AD7" w:rsidP="000764EC">
      <w:pPr>
        <w:pStyle w:val="Sangradetextonormal"/>
        <w:spacing w:before="200" w:line="276" w:lineRule="auto"/>
        <w:ind w:firstLine="0"/>
        <w:rPr>
          <w:rFonts w:ascii="Arial" w:hAnsi="Arial" w:cs="Arial"/>
        </w:rPr>
      </w:pPr>
      <w:r>
        <w:rPr>
          <w:rFonts w:ascii="Arial" w:hAnsi="Arial" w:cs="Arial"/>
        </w:rPr>
        <w:t>La Sociedad ante puntas de tesorería puede invertir en depósitos a corto plazo de renta fija en las entidades financieras que habitualmente trabajan con la Sociedad.</w:t>
      </w:r>
    </w:p>
    <w:p w14:paraId="4344B781" w14:textId="77777777" w:rsidR="00036AD7" w:rsidRDefault="00036AD7" w:rsidP="000764EC">
      <w:pPr>
        <w:pStyle w:val="Sangradetextonormal"/>
        <w:spacing w:before="200" w:line="276" w:lineRule="auto"/>
        <w:ind w:firstLine="0"/>
        <w:rPr>
          <w:rFonts w:ascii="Arial" w:hAnsi="Arial" w:cs="Arial"/>
        </w:rPr>
      </w:pPr>
      <w:r>
        <w:rPr>
          <w:rFonts w:ascii="Arial" w:hAnsi="Arial" w:cs="Arial"/>
        </w:rPr>
        <w:t>Los préstamos y créditos a empresas del grupo y a terceros, así como la adquisición de acciones de empresas no cotizadas son aprobados por la Dirección de la Sociedad.</w:t>
      </w:r>
    </w:p>
    <w:p w14:paraId="3E40AF79" w14:textId="77777777" w:rsidR="00036AD7" w:rsidRDefault="00036AD7" w:rsidP="000764EC">
      <w:pPr>
        <w:pStyle w:val="Sangradetextonormal"/>
        <w:spacing w:before="200" w:line="276" w:lineRule="auto"/>
        <w:ind w:firstLine="0"/>
        <w:rPr>
          <w:rFonts w:ascii="Arial" w:hAnsi="Arial" w:cs="Arial"/>
          <w:b/>
          <w:u w:val="single"/>
        </w:rPr>
      </w:pPr>
      <w:r>
        <w:rPr>
          <w:rFonts w:ascii="Arial" w:hAnsi="Arial" w:cs="Arial"/>
          <w:b/>
          <w:u w:val="single"/>
        </w:rPr>
        <w:t>Riesgo de mercado</w:t>
      </w:r>
    </w:p>
    <w:p w14:paraId="5298861B" w14:textId="77777777" w:rsidR="00036AD7" w:rsidRDefault="00036AD7" w:rsidP="000764EC">
      <w:pPr>
        <w:pStyle w:val="Sangradetextonormal"/>
        <w:spacing w:before="200" w:line="276" w:lineRule="auto"/>
        <w:ind w:firstLine="0"/>
        <w:rPr>
          <w:rFonts w:ascii="Arial" w:hAnsi="Arial" w:cs="Arial"/>
        </w:rPr>
      </w:pPr>
      <w:r>
        <w:rPr>
          <w:rFonts w:ascii="Arial" w:hAnsi="Arial" w:cs="Arial"/>
        </w:rPr>
        <w:t>El riesgo de mercado se produce por la pérdida causada por variaciones en el valor razonable o en los futuros flujos de efectivo de un instrumento financiero debidas a cambios en los precios de mercado. El riesgo de mercado incluye en riesgo de tipo de interés, de tipo de cambio y de otros riesgos de precio.</w:t>
      </w:r>
    </w:p>
    <w:p w14:paraId="405D88C9" w14:textId="77777777" w:rsidR="00036AD7" w:rsidRDefault="00036AD7" w:rsidP="000764EC">
      <w:pPr>
        <w:pStyle w:val="Sangradetextonormal"/>
        <w:spacing w:before="200" w:line="276" w:lineRule="auto"/>
        <w:ind w:firstLine="0"/>
        <w:rPr>
          <w:rFonts w:ascii="Arial" w:hAnsi="Arial" w:cs="Arial"/>
          <w:u w:val="single"/>
        </w:rPr>
      </w:pPr>
      <w:r>
        <w:rPr>
          <w:rFonts w:ascii="Arial" w:hAnsi="Arial" w:cs="Arial"/>
          <w:u w:val="single"/>
        </w:rPr>
        <w:t>Riesgo de tipo de interés</w:t>
      </w:r>
    </w:p>
    <w:p w14:paraId="5F554BBA" w14:textId="77777777" w:rsidR="00AF6D38" w:rsidRDefault="00036AD7" w:rsidP="000764EC">
      <w:pPr>
        <w:pStyle w:val="Sangradetextonormal"/>
        <w:spacing w:before="200" w:line="276" w:lineRule="auto"/>
        <w:ind w:firstLine="0"/>
        <w:rPr>
          <w:rFonts w:ascii="Arial" w:hAnsi="Arial" w:cs="Arial"/>
        </w:rPr>
      </w:pPr>
      <w:r>
        <w:rPr>
          <w:rFonts w:ascii="Arial" w:hAnsi="Arial" w:cs="Arial"/>
        </w:rPr>
        <w:t>El riesgo de tipo de interés se produce por la posible pérdida causada por variaciones en el valor razonable o en los futuros flujos de efectivo de un instrumento financiero debidas a cambios en los tipos de interés de mercado. La exposición de la Sociedad al riesgo de cambios en los tipos de interés es nula, ya que no existen préstamos y créditos recibidos a corto plazo.</w:t>
      </w:r>
    </w:p>
    <w:p w14:paraId="66470E10" w14:textId="77777777" w:rsidR="00AF6D38" w:rsidRDefault="00AF6D38" w:rsidP="000764EC">
      <w:pPr>
        <w:pStyle w:val="Sangradetextonormal"/>
        <w:spacing w:before="200" w:line="276" w:lineRule="auto"/>
        <w:ind w:firstLine="0"/>
        <w:rPr>
          <w:rFonts w:ascii="Arial" w:hAnsi="Arial" w:cs="Arial"/>
          <w:u w:val="single"/>
        </w:rPr>
      </w:pPr>
      <w:r>
        <w:rPr>
          <w:rFonts w:ascii="Arial" w:hAnsi="Arial" w:cs="Arial"/>
          <w:u w:val="single"/>
        </w:rPr>
        <w:t>Riesgo de tipo de cambio</w:t>
      </w:r>
    </w:p>
    <w:p w14:paraId="4EF36071" w14:textId="77777777" w:rsidR="00AF6D38" w:rsidRDefault="00AF6D38" w:rsidP="000764EC">
      <w:pPr>
        <w:pStyle w:val="Sangradetextonormal"/>
        <w:spacing w:before="200" w:line="276" w:lineRule="auto"/>
        <w:ind w:firstLine="0"/>
        <w:rPr>
          <w:rFonts w:ascii="Arial" w:hAnsi="Arial" w:cs="Arial"/>
        </w:rPr>
      </w:pPr>
      <w:r>
        <w:rPr>
          <w:rFonts w:ascii="Arial" w:hAnsi="Arial" w:cs="Arial"/>
        </w:rPr>
        <w:t>El riesgo de tipo de cambio se produce por la posible pérdida causada por variaciones en el valor razonable o en los futuros flujos de efectivo de un instrumento financiero debidas a fluctuaciones en los tipos de cambio. La exposición de la Sociedad al riesgo de fluctuaciones en los tipos de cambio es nula, ya que no realiza operaciones en divisas a la moneda funcional.</w:t>
      </w:r>
    </w:p>
    <w:p w14:paraId="69C7A6B7" w14:textId="77777777" w:rsidR="00AF6D38" w:rsidRDefault="00AF6D38" w:rsidP="000764EC">
      <w:pPr>
        <w:pStyle w:val="Sangradetextonormal"/>
        <w:spacing w:before="200" w:line="276" w:lineRule="auto"/>
        <w:ind w:firstLine="0"/>
        <w:rPr>
          <w:rFonts w:ascii="Arial" w:hAnsi="Arial" w:cs="Arial"/>
          <w:u w:val="single"/>
        </w:rPr>
      </w:pPr>
      <w:r>
        <w:rPr>
          <w:rFonts w:ascii="Arial" w:hAnsi="Arial" w:cs="Arial"/>
          <w:u w:val="single"/>
        </w:rPr>
        <w:t>Otros riesgos de precio</w:t>
      </w:r>
    </w:p>
    <w:p w14:paraId="2B53A841" w14:textId="77777777" w:rsidR="00AF6D38" w:rsidRDefault="00AF6D38" w:rsidP="000764EC">
      <w:pPr>
        <w:pStyle w:val="Sangradetextonormal"/>
        <w:spacing w:before="200" w:line="276" w:lineRule="auto"/>
        <w:ind w:firstLine="0"/>
        <w:rPr>
          <w:rFonts w:ascii="Arial" w:hAnsi="Arial" w:cs="Arial"/>
        </w:rPr>
      </w:pPr>
      <w:r>
        <w:rPr>
          <w:rFonts w:ascii="Arial" w:hAnsi="Arial" w:cs="Arial"/>
        </w:rPr>
        <w:t>No existe exposición a este tipo de riesgo.</w:t>
      </w:r>
    </w:p>
    <w:p w14:paraId="436A7D0F" w14:textId="77777777" w:rsidR="00AF6D38" w:rsidRDefault="00AF6D38" w:rsidP="000764EC">
      <w:pPr>
        <w:pStyle w:val="Sangradetextonormal"/>
        <w:spacing w:before="200" w:line="276" w:lineRule="auto"/>
        <w:ind w:firstLine="0"/>
        <w:rPr>
          <w:rFonts w:ascii="Arial" w:hAnsi="Arial" w:cs="Arial"/>
        </w:rPr>
      </w:pPr>
    </w:p>
    <w:p w14:paraId="674C922C" w14:textId="77777777" w:rsidR="00AF6D38" w:rsidRDefault="00AF6D38" w:rsidP="000764EC">
      <w:pPr>
        <w:pStyle w:val="Sangradetextonormal"/>
        <w:spacing w:before="200" w:line="276" w:lineRule="auto"/>
        <w:ind w:firstLine="0"/>
        <w:rPr>
          <w:rFonts w:ascii="Arial" w:hAnsi="Arial" w:cs="Arial"/>
          <w:b/>
          <w:u w:val="single"/>
        </w:rPr>
      </w:pPr>
      <w:r>
        <w:rPr>
          <w:rFonts w:ascii="Arial" w:hAnsi="Arial" w:cs="Arial"/>
          <w:b/>
          <w:u w:val="single"/>
        </w:rPr>
        <w:t>Riesgo de liquidez</w:t>
      </w:r>
    </w:p>
    <w:p w14:paraId="7F908722" w14:textId="77777777" w:rsidR="00AF6D38" w:rsidRPr="00AF6D38" w:rsidRDefault="00AF6D38" w:rsidP="000764EC">
      <w:pPr>
        <w:pStyle w:val="Sangradetextonormal"/>
        <w:spacing w:before="200" w:line="276" w:lineRule="auto"/>
        <w:ind w:firstLine="0"/>
        <w:rPr>
          <w:rFonts w:ascii="Arial" w:hAnsi="Arial" w:cs="Arial"/>
        </w:rPr>
      </w:pPr>
      <w:r>
        <w:rPr>
          <w:rFonts w:ascii="Arial" w:hAnsi="Arial" w:cs="Arial"/>
        </w:rPr>
        <w:t>El riesgo de liquidez se produce por la posibilidad de que la Sociedad no pueda disponer de fondos líquidos, o acceder a ellos, en la cuantía suficiente y al coste adecuado, para hacer frente en todo momento a sus obligaciones de pago. El objetivo de la Sociedad es mantener las disponibilidades liquidas necesarias. Las políticas de la Sociedad establecen los límites mínimos de liquidez que se deben mantener en todo momento, esto es un nivel mínimo de tesorería que garantice los pagos fijos mensuales.</w:t>
      </w:r>
    </w:p>
    <w:p w14:paraId="669D2BCB" w14:textId="77777777" w:rsidR="00FF685D" w:rsidRPr="00C50C64" w:rsidRDefault="00FF685D" w:rsidP="000764EC">
      <w:pPr>
        <w:pStyle w:val="Sangradetextonormal"/>
        <w:spacing w:before="200" w:line="276" w:lineRule="auto"/>
        <w:ind w:firstLine="0"/>
        <w:rPr>
          <w:rFonts w:ascii="Arial" w:hAnsi="Arial" w:cs="Arial"/>
        </w:rPr>
      </w:pPr>
    </w:p>
    <w:p w14:paraId="36A6021C" w14:textId="77777777" w:rsidR="009B0B40" w:rsidRPr="0013770B" w:rsidRDefault="009B0B40" w:rsidP="0013770B">
      <w:pPr>
        <w:pStyle w:val="Ttulo1"/>
        <w:spacing w:before="200" w:line="276" w:lineRule="auto"/>
        <w:jc w:val="both"/>
        <w:rPr>
          <w:rFonts w:ascii="EurostileT" w:hAnsi="EurostileT"/>
          <w:color w:val="005BA6"/>
          <w:sz w:val="28"/>
          <w:szCs w:val="28"/>
        </w:rPr>
      </w:pPr>
      <w:bookmarkStart w:id="23" w:name="_Toc350855630"/>
      <w:r w:rsidRPr="0013770B">
        <w:rPr>
          <w:rFonts w:ascii="EurostileT" w:hAnsi="EurostileT"/>
          <w:color w:val="005BA6"/>
          <w:sz w:val="28"/>
          <w:szCs w:val="28"/>
        </w:rPr>
        <w:t>2</w:t>
      </w:r>
      <w:r w:rsidR="00FF685D">
        <w:rPr>
          <w:rFonts w:ascii="EurostileT" w:hAnsi="EurostileT"/>
          <w:color w:val="005BA6"/>
          <w:sz w:val="28"/>
          <w:szCs w:val="28"/>
        </w:rPr>
        <w:t>2</w:t>
      </w:r>
      <w:r w:rsidRPr="0013770B">
        <w:rPr>
          <w:rFonts w:ascii="EurostileT" w:hAnsi="EurostileT"/>
          <w:color w:val="005BA6"/>
          <w:sz w:val="28"/>
          <w:szCs w:val="28"/>
        </w:rPr>
        <w:t xml:space="preserve">. </w:t>
      </w:r>
      <w:r w:rsidR="0013770B">
        <w:rPr>
          <w:rFonts w:ascii="EurostileT" w:hAnsi="EurostileT"/>
          <w:color w:val="005BA6"/>
          <w:sz w:val="28"/>
          <w:szCs w:val="28"/>
        </w:rPr>
        <w:tab/>
      </w:r>
      <w:r w:rsidRPr="0013770B">
        <w:rPr>
          <w:rFonts w:ascii="EurostileT" w:hAnsi="EurostileT"/>
          <w:color w:val="005BA6"/>
          <w:sz w:val="28"/>
          <w:szCs w:val="28"/>
        </w:rPr>
        <w:t>INFORMACION SOBRE LOS APLAZAMIENTOS DE PAGO EFECTUADOS A PROVEEDORES</w:t>
      </w:r>
      <w:bookmarkEnd w:id="23"/>
    </w:p>
    <w:p w14:paraId="19ABAD36" w14:textId="77777777" w:rsidR="009B0B40" w:rsidRDefault="009B0B40" w:rsidP="00852006">
      <w:pPr>
        <w:pStyle w:val="Sangradetextonormal"/>
        <w:spacing w:before="200" w:line="276" w:lineRule="auto"/>
        <w:ind w:firstLine="708"/>
        <w:rPr>
          <w:rFonts w:cs="Arial"/>
          <w:b/>
          <w:color w:val="005BA6"/>
        </w:rPr>
      </w:pPr>
      <w:r>
        <w:rPr>
          <w:rFonts w:cs="Arial"/>
          <w:b/>
          <w:color w:val="005BA6"/>
        </w:rPr>
        <w:t>Disposición Adicional Tercera “Deber de información” de la Ley 15/2010, de 5 de julio.</w:t>
      </w:r>
    </w:p>
    <w:p w14:paraId="6A20BD91" w14:textId="77777777" w:rsidR="00A32B1A" w:rsidRPr="00C50C64" w:rsidRDefault="00A67F9C" w:rsidP="002336F1">
      <w:pPr>
        <w:pStyle w:val="Sangradetextonormal"/>
        <w:spacing w:before="200" w:line="276" w:lineRule="auto"/>
        <w:ind w:firstLine="0"/>
        <w:rPr>
          <w:rFonts w:ascii="Arial" w:hAnsi="Arial" w:cs="Arial"/>
        </w:rPr>
      </w:pPr>
      <w:r w:rsidRPr="00C50C64">
        <w:rPr>
          <w:rFonts w:ascii="Arial" w:hAnsi="Arial" w:cs="Arial"/>
        </w:rPr>
        <w:t>A continuación se ofrece información relativa al periodo medio de pago a proveedores</w:t>
      </w:r>
      <w:r w:rsidR="00260F71" w:rsidRPr="00C50C64">
        <w:rPr>
          <w:rFonts w:ascii="Arial" w:hAnsi="Arial" w:cs="Arial"/>
        </w:rPr>
        <w:t xml:space="preserve"> de los ejercicios </w:t>
      </w:r>
      <w:r w:rsidR="00280F4E">
        <w:rPr>
          <w:rFonts w:ascii="Arial" w:hAnsi="Arial" w:cs="Arial"/>
        </w:rPr>
        <w:t>2019 y 2018</w:t>
      </w:r>
      <w:r w:rsidR="00260F71" w:rsidRPr="00C50C64">
        <w:rPr>
          <w:rFonts w:ascii="Arial" w:hAnsi="Arial" w:cs="Arial"/>
        </w:rPr>
        <w:t>.</w:t>
      </w:r>
    </w:p>
    <w:p w14:paraId="0515526C" w14:textId="77777777" w:rsidR="00A32B1A" w:rsidRDefault="00D92BEF" w:rsidP="00A32B1A">
      <w:pPr>
        <w:pStyle w:val="Ttulo2"/>
        <w:spacing w:before="200" w:line="276" w:lineRule="auto"/>
        <w:ind w:left="0" w:firstLine="0"/>
        <w:jc w:val="center"/>
        <w:rPr>
          <w:rFonts w:ascii="Arial" w:hAnsi="Arial" w:cs="Arial"/>
          <w:b w:val="0"/>
          <w:color w:val="auto"/>
          <w:sz w:val="20"/>
        </w:rPr>
      </w:pPr>
      <w:r w:rsidRPr="00D92BEF">
        <w:rPr>
          <w:noProof/>
          <w:lang w:val="es-ES"/>
        </w:rPr>
        <w:drawing>
          <wp:inline distT="0" distB="0" distL="0" distR="0" wp14:anchorId="609BA7B7" wp14:editId="4E7DFCB5">
            <wp:extent cx="3866959" cy="1543050"/>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89311" cy="1551969"/>
                    </a:xfrm>
                    <a:prstGeom prst="rect">
                      <a:avLst/>
                    </a:prstGeom>
                    <a:noFill/>
                    <a:ln>
                      <a:noFill/>
                    </a:ln>
                  </pic:spPr>
                </pic:pic>
              </a:graphicData>
            </a:graphic>
          </wp:inline>
        </w:drawing>
      </w:r>
    </w:p>
    <w:p w14:paraId="1E07BE8C" w14:textId="77777777" w:rsidR="00AF6D38" w:rsidRPr="00AF6D38" w:rsidRDefault="009B0B40" w:rsidP="00AF6D38">
      <w:r w:rsidRPr="00625B19">
        <w:rPr>
          <w:rFonts w:ascii="Arial" w:hAnsi="Arial" w:cs="Arial"/>
        </w:rPr>
        <w:t>No existe ningún saldo pendiente de pago a proveedores, que al cierre de ejercicio acumule un aplazamiento superior al plazo legal de pago.</w:t>
      </w:r>
    </w:p>
    <w:p w14:paraId="2A25B503" w14:textId="77777777" w:rsidR="002D71D7" w:rsidRDefault="002D71D7">
      <w:pPr>
        <w:pStyle w:val="Ttulo1"/>
        <w:spacing w:before="200" w:line="276" w:lineRule="auto"/>
        <w:jc w:val="both"/>
        <w:rPr>
          <w:rFonts w:ascii="EurostileT" w:hAnsi="EurostileT"/>
          <w:color w:val="005BA6"/>
          <w:sz w:val="28"/>
          <w:szCs w:val="28"/>
        </w:rPr>
      </w:pPr>
      <w:bookmarkStart w:id="24" w:name="_Toc350855631"/>
      <w:bookmarkStart w:id="25" w:name="_Hlk35968785"/>
    </w:p>
    <w:p w14:paraId="039DF7C1" w14:textId="77777777" w:rsidR="001A3D9D" w:rsidRDefault="009B0B40">
      <w:pPr>
        <w:pStyle w:val="Ttulo1"/>
        <w:spacing w:before="200" w:line="276" w:lineRule="auto"/>
        <w:jc w:val="both"/>
        <w:rPr>
          <w:snapToGrid w:val="0"/>
        </w:rPr>
      </w:pPr>
      <w:r w:rsidRPr="0013770B">
        <w:rPr>
          <w:rFonts w:ascii="EurostileT" w:hAnsi="EurostileT"/>
          <w:color w:val="005BA6"/>
          <w:sz w:val="28"/>
          <w:szCs w:val="28"/>
        </w:rPr>
        <w:t>2</w:t>
      </w:r>
      <w:r w:rsidR="00FF685D">
        <w:rPr>
          <w:rFonts w:ascii="EurostileT" w:hAnsi="EurostileT"/>
          <w:color w:val="005BA6"/>
          <w:sz w:val="28"/>
          <w:szCs w:val="28"/>
        </w:rPr>
        <w:t>3</w:t>
      </w:r>
      <w:r w:rsidRPr="0013770B">
        <w:rPr>
          <w:rFonts w:ascii="EurostileT" w:hAnsi="EurostileT"/>
          <w:color w:val="005BA6"/>
          <w:sz w:val="28"/>
          <w:szCs w:val="28"/>
        </w:rPr>
        <w:t>. ACONTECIMIENTOS POSTERIORES AL CIERRE</w:t>
      </w:r>
      <w:bookmarkEnd w:id="24"/>
    </w:p>
    <w:p w14:paraId="5E365B69" w14:textId="77777777" w:rsidR="005D4910" w:rsidRPr="00F95770" w:rsidRDefault="005D4910" w:rsidP="00F95770">
      <w:pPr>
        <w:pStyle w:val="Ttulo2"/>
        <w:spacing w:before="200" w:line="276" w:lineRule="auto"/>
        <w:ind w:left="0" w:firstLine="0"/>
        <w:rPr>
          <w:rFonts w:ascii="Arial" w:hAnsi="Arial" w:cs="Arial"/>
          <w:b w:val="0"/>
          <w:color w:val="auto"/>
          <w:sz w:val="20"/>
        </w:rPr>
      </w:pPr>
      <w:r w:rsidRPr="00F95770">
        <w:rPr>
          <w:rFonts w:ascii="Arial" w:hAnsi="Arial" w:cs="Arial"/>
          <w:b w:val="0"/>
          <w:color w:val="auto"/>
          <w:sz w:val="20"/>
        </w:rPr>
        <w:t>La aparición del Coronavirus COVID-19 en China en enero de 2020 y su reciente expansión global a un gran número de países, entre ellos España, ha motivado que el brote vírico haya sido calificado como una pandemia por la Organización Mundial de la Salud desde el pasado 11 de marzo.</w:t>
      </w:r>
    </w:p>
    <w:p w14:paraId="665DC31A" w14:textId="77777777" w:rsidR="005D4910" w:rsidRDefault="005D4910" w:rsidP="005D4910">
      <w:pPr>
        <w:jc w:val="both"/>
      </w:pPr>
    </w:p>
    <w:p w14:paraId="3612B53B" w14:textId="77777777" w:rsidR="005D4910" w:rsidRPr="00F95770" w:rsidRDefault="005D4910" w:rsidP="005D4910">
      <w:pPr>
        <w:jc w:val="both"/>
        <w:rPr>
          <w:rFonts w:ascii="Arial" w:hAnsi="Arial" w:cs="Arial"/>
        </w:rPr>
      </w:pPr>
      <w:r w:rsidRPr="00F95770">
        <w:rPr>
          <w:rFonts w:ascii="Arial" w:hAnsi="Arial" w:cs="Arial"/>
        </w:rPr>
        <w:t>Debido a la incertidumbre existente en relación con esta pandemia y ante la ausencia, por el momento, de un tratamiento médico eficaz contra el virus, las consecuencias para las operaciones de la Sociedad son inciertas y van a depender en gran medida de la evolución y extensión de dicha pandemia en los próximos meses, así como de la capacidad de reacción y adaptación de todos los agentes económicos impactados.</w:t>
      </w:r>
    </w:p>
    <w:p w14:paraId="06BF6AC9" w14:textId="77777777" w:rsidR="005D4910" w:rsidRPr="00E15F3F" w:rsidRDefault="005D4910" w:rsidP="005D4910">
      <w:pPr>
        <w:jc w:val="both"/>
      </w:pPr>
    </w:p>
    <w:p w14:paraId="78704608" w14:textId="77777777" w:rsidR="00550ED1" w:rsidRDefault="005D4910" w:rsidP="00362602">
      <w:pPr>
        <w:spacing w:line="276" w:lineRule="auto"/>
        <w:jc w:val="both"/>
        <w:rPr>
          <w:rFonts w:ascii="Arial" w:hAnsi="Arial" w:cs="Arial"/>
        </w:rPr>
      </w:pPr>
      <w:r w:rsidRPr="00F95770">
        <w:rPr>
          <w:rFonts w:ascii="Arial" w:hAnsi="Arial" w:cs="Arial"/>
        </w:rPr>
        <w:t xml:space="preserve">Por todo ello, a la fecha de formulación de estas Cuentas Anuales es prematuro realizar una valoración detallada o cuantificación de los posibles impactos que tendrá el COVID-19 sobre la Sociedad, debido a la incertidumbre sobre sus consecuencias, a corto, medio y largo plazo. </w:t>
      </w:r>
    </w:p>
    <w:p w14:paraId="063B96C6" w14:textId="77777777" w:rsidR="002724A7" w:rsidRDefault="002724A7" w:rsidP="00362602">
      <w:pPr>
        <w:spacing w:line="276" w:lineRule="auto"/>
        <w:jc w:val="both"/>
        <w:rPr>
          <w:rFonts w:ascii="Arial" w:hAnsi="Arial" w:cs="Arial"/>
        </w:rPr>
      </w:pPr>
    </w:p>
    <w:p w14:paraId="3713D2C4" w14:textId="77777777" w:rsidR="002724A7" w:rsidRDefault="002724A7" w:rsidP="00362602">
      <w:pPr>
        <w:spacing w:line="276" w:lineRule="auto"/>
        <w:jc w:val="both"/>
        <w:rPr>
          <w:rFonts w:ascii="Arial" w:hAnsi="Arial" w:cs="Arial"/>
        </w:rPr>
      </w:pPr>
      <w:r>
        <w:rPr>
          <w:rFonts w:ascii="Arial" w:hAnsi="Arial" w:cs="Arial"/>
        </w:rPr>
        <w:t>No obstante, los Administradores y la Dirección de la Sociedad han realizado una evaluación preliminar de la situación actual conforme a la mejor información disponible, Por las consideraciones mencionadas anteriormente, dicha información puede ser incompleta. De los resultados de dicha evaluación, se destacan los siguientes aspectos:</w:t>
      </w:r>
    </w:p>
    <w:p w14:paraId="0E8982D2" w14:textId="77777777" w:rsidR="002724A7" w:rsidRDefault="002724A7" w:rsidP="005D4910">
      <w:pPr>
        <w:jc w:val="both"/>
        <w:rPr>
          <w:rFonts w:ascii="Arial" w:hAnsi="Arial" w:cs="Arial"/>
        </w:rPr>
      </w:pPr>
    </w:p>
    <w:p w14:paraId="4C6C6F0E" w14:textId="77777777" w:rsidR="002724A7" w:rsidRDefault="002724A7" w:rsidP="00362602">
      <w:pPr>
        <w:spacing w:line="276" w:lineRule="auto"/>
        <w:jc w:val="both"/>
        <w:rPr>
          <w:rFonts w:ascii="Arial" w:hAnsi="Arial" w:cs="Arial"/>
          <w:u w:val="single"/>
        </w:rPr>
      </w:pPr>
      <w:r>
        <w:rPr>
          <w:rFonts w:ascii="Arial" w:hAnsi="Arial" w:cs="Arial"/>
          <w:u w:val="single"/>
        </w:rPr>
        <w:t>Riesgo de liquidez</w:t>
      </w:r>
    </w:p>
    <w:p w14:paraId="76ED51D6" w14:textId="77777777" w:rsidR="00BA5753" w:rsidRDefault="002724A7" w:rsidP="00362602">
      <w:pPr>
        <w:spacing w:line="276" w:lineRule="auto"/>
        <w:jc w:val="both"/>
        <w:rPr>
          <w:rFonts w:ascii="Arial" w:hAnsi="Arial" w:cs="Arial"/>
        </w:rPr>
      </w:pPr>
      <w:r>
        <w:rPr>
          <w:rFonts w:ascii="Arial" w:hAnsi="Arial" w:cs="Arial"/>
        </w:rPr>
        <w:t xml:space="preserve">Debido a la situación general de los mercados, se prevé que pueda existir un aumento general de las tensiones de liquidez en la economía, así como una contracción del mercado de crédito. En este sentido, la Sociedad no espera tener tensiones de tesorería debido a que finalizó el ejercicio 2019 con más de 6 millones de euros en tesorería. </w:t>
      </w:r>
      <w:r w:rsidR="00BA5753">
        <w:rPr>
          <w:rFonts w:ascii="Arial" w:hAnsi="Arial" w:cs="Arial"/>
        </w:rPr>
        <w:t>Por otro lado, debido a que la actividad principal de la empresa se ha considerado</w:t>
      </w:r>
      <w:r w:rsidR="00362602">
        <w:rPr>
          <w:rFonts w:ascii="Arial" w:hAnsi="Arial" w:cs="Arial"/>
        </w:rPr>
        <w:t xml:space="preserve"> como </w:t>
      </w:r>
      <w:r w:rsidR="00BA5753">
        <w:rPr>
          <w:rFonts w:ascii="Arial" w:hAnsi="Arial" w:cs="Arial"/>
        </w:rPr>
        <w:t>esencial y que nuestro principal cliente es Gobierno de Navarra, es previsible que nuestr</w:t>
      </w:r>
      <w:r w:rsidR="00362602">
        <w:rPr>
          <w:rFonts w:ascii="Arial" w:hAnsi="Arial" w:cs="Arial"/>
        </w:rPr>
        <w:t>o volumen de actividad no se vea afectado de manera sustancial.</w:t>
      </w:r>
      <w:r w:rsidR="00BA5753">
        <w:rPr>
          <w:rFonts w:ascii="Arial" w:hAnsi="Arial" w:cs="Arial"/>
        </w:rPr>
        <w:t xml:space="preserve"> </w:t>
      </w:r>
      <w:r w:rsidR="00362602">
        <w:rPr>
          <w:rFonts w:ascii="Arial" w:hAnsi="Arial" w:cs="Arial"/>
        </w:rPr>
        <w:t>El riesgo de liquidez podría surgir en el caso que Gobierno de Navarra tuviera dificultades para realizar el abono de los servicios prestados como consecuencia del impacto en sus presupuestos por la situación ocasionada por el COVID-19.</w:t>
      </w:r>
    </w:p>
    <w:p w14:paraId="09697236" w14:textId="77777777" w:rsidR="002724A7" w:rsidRDefault="002724A7" w:rsidP="005D4910">
      <w:pPr>
        <w:jc w:val="both"/>
        <w:rPr>
          <w:rFonts w:ascii="Arial" w:hAnsi="Arial" w:cs="Arial"/>
        </w:rPr>
      </w:pPr>
    </w:p>
    <w:p w14:paraId="2D4F31A6" w14:textId="77777777" w:rsidR="00C77FF2" w:rsidRDefault="00C77FF2" w:rsidP="00362602">
      <w:pPr>
        <w:spacing w:line="276" w:lineRule="auto"/>
        <w:jc w:val="both"/>
        <w:rPr>
          <w:rFonts w:ascii="Arial" w:hAnsi="Arial" w:cs="Arial"/>
          <w:u w:val="single"/>
        </w:rPr>
      </w:pPr>
      <w:r>
        <w:rPr>
          <w:rFonts w:ascii="Arial" w:hAnsi="Arial" w:cs="Arial"/>
          <w:u w:val="single"/>
        </w:rPr>
        <w:t>Riesgo de operaciones</w:t>
      </w:r>
    </w:p>
    <w:p w14:paraId="52307157" w14:textId="77777777" w:rsidR="00C77FF2" w:rsidRPr="00C77FF2" w:rsidRDefault="00C77FF2" w:rsidP="00362602">
      <w:pPr>
        <w:spacing w:line="276" w:lineRule="auto"/>
        <w:jc w:val="both"/>
        <w:rPr>
          <w:rFonts w:ascii="Arial" w:hAnsi="Arial" w:cs="Arial"/>
        </w:rPr>
      </w:pPr>
      <w:r>
        <w:rPr>
          <w:rFonts w:ascii="Arial" w:hAnsi="Arial" w:cs="Arial"/>
        </w:rPr>
        <w:t>La situación cambiante e impredecible de los acontecimientos podría llegar a implicar la aparición de un riesgo de interrupción temporal de los servicios que presta la Sociedad. Inicialmente, esto resulta poco probable ya que como se ha manifestado en el p</w:t>
      </w:r>
      <w:r w:rsidR="00EE50B2">
        <w:rPr>
          <w:rFonts w:ascii="Arial" w:hAnsi="Arial" w:cs="Arial"/>
        </w:rPr>
        <w:t xml:space="preserve">árrafo anterior, INTIA está considerada como empresa que desarrolla servicios esenciales por lo que su actividad se mantiene. </w:t>
      </w:r>
      <w:r w:rsidR="00EE50B2" w:rsidRPr="00EE50B2">
        <w:rPr>
          <w:rFonts w:ascii="Arial" w:hAnsi="Arial" w:cs="Arial"/>
        </w:rPr>
        <w:t xml:space="preserve">Lo que ha variado </w:t>
      </w:r>
      <w:r w:rsidR="00362602">
        <w:rPr>
          <w:rFonts w:ascii="Arial" w:hAnsi="Arial" w:cs="Arial"/>
        </w:rPr>
        <w:t xml:space="preserve">es el modo de llevar a cabo su actividad con el fin de minimizar el impacto de la situación actual en la prestación de sus servicios: </w:t>
      </w:r>
      <w:r w:rsidR="00EE50B2" w:rsidRPr="00EE50B2">
        <w:rPr>
          <w:rFonts w:ascii="Arial" w:hAnsi="Arial" w:cs="Arial"/>
        </w:rPr>
        <w:t>aproximadamente el 70% de la plantilla está desarrollando su trabajo por teletrabajo y un 30% lo hace en modalidad mixta, ya que hay servicios en los que es imprescindible la presencia de los técnicos.</w:t>
      </w:r>
    </w:p>
    <w:p w14:paraId="2778EDC0" w14:textId="77777777" w:rsidR="00C77FF2" w:rsidRPr="00C77FF2" w:rsidRDefault="00C77FF2" w:rsidP="005D4910">
      <w:pPr>
        <w:jc w:val="both"/>
        <w:rPr>
          <w:rFonts w:ascii="Arial" w:hAnsi="Arial" w:cs="Arial"/>
          <w:u w:val="single"/>
        </w:rPr>
      </w:pPr>
    </w:p>
    <w:p w14:paraId="65459BBD" w14:textId="77777777" w:rsidR="00C77FF2" w:rsidRDefault="00362602" w:rsidP="00362602">
      <w:pPr>
        <w:spacing w:line="276" w:lineRule="auto"/>
        <w:jc w:val="both"/>
        <w:rPr>
          <w:rFonts w:ascii="Arial" w:hAnsi="Arial" w:cs="Arial"/>
          <w:u w:val="single"/>
        </w:rPr>
      </w:pPr>
      <w:r>
        <w:rPr>
          <w:rFonts w:ascii="Arial" w:hAnsi="Arial" w:cs="Arial"/>
          <w:u w:val="single"/>
        </w:rPr>
        <w:t>Riesgo de variación de determinadas magnitudes financieras</w:t>
      </w:r>
    </w:p>
    <w:p w14:paraId="3A749C52" w14:textId="77777777" w:rsidR="00362602" w:rsidRDefault="00362602" w:rsidP="00362602">
      <w:pPr>
        <w:spacing w:line="276" w:lineRule="auto"/>
        <w:jc w:val="both"/>
        <w:rPr>
          <w:rFonts w:ascii="Arial" w:hAnsi="Arial" w:cs="Arial"/>
        </w:rPr>
      </w:pPr>
      <w:r>
        <w:rPr>
          <w:rFonts w:ascii="Arial" w:hAnsi="Arial" w:cs="Arial"/>
        </w:rPr>
        <w:t>Los factores que se han mencionado anteriormente</w:t>
      </w:r>
      <w:r w:rsidR="000A6117">
        <w:rPr>
          <w:rFonts w:ascii="Arial" w:hAnsi="Arial" w:cs="Arial"/>
        </w:rPr>
        <w:t xml:space="preserve"> indican que en estos momentos, a pesar de toda la incertidumbre, no existen motivos evidentes que provoquen importantes cambios en los Estados Financieros de la Sociedad.</w:t>
      </w:r>
    </w:p>
    <w:p w14:paraId="269DB687" w14:textId="77777777" w:rsidR="000A6117" w:rsidRDefault="000A6117" w:rsidP="00362602">
      <w:pPr>
        <w:spacing w:line="276" w:lineRule="auto"/>
        <w:jc w:val="both"/>
        <w:rPr>
          <w:rFonts w:ascii="Arial" w:hAnsi="Arial" w:cs="Arial"/>
        </w:rPr>
      </w:pPr>
    </w:p>
    <w:p w14:paraId="0B70307D" w14:textId="77777777" w:rsidR="000A6117" w:rsidRDefault="000A6117" w:rsidP="000A6117">
      <w:pPr>
        <w:spacing w:line="276" w:lineRule="auto"/>
        <w:jc w:val="both"/>
        <w:rPr>
          <w:rFonts w:ascii="Arial" w:hAnsi="Arial" w:cs="Arial"/>
          <w:u w:val="single"/>
        </w:rPr>
      </w:pPr>
      <w:r>
        <w:rPr>
          <w:rFonts w:ascii="Arial" w:hAnsi="Arial" w:cs="Arial"/>
          <w:u w:val="single"/>
        </w:rPr>
        <w:t>Riesgo de valoración de los activos y pasivos del balance</w:t>
      </w:r>
    </w:p>
    <w:p w14:paraId="6A00DDE9" w14:textId="77777777" w:rsidR="000A6117" w:rsidRPr="00362602" w:rsidRDefault="000A6117" w:rsidP="000A6117">
      <w:pPr>
        <w:spacing w:line="276" w:lineRule="auto"/>
        <w:jc w:val="both"/>
        <w:rPr>
          <w:rFonts w:ascii="Arial" w:hAnsi="Arial" w:cs="Arial"/>
        </w:rPr>
      </w:pPr>
      <w:r>
        <w:rPr>
          <w:rFonts w:ascii="Arial" w:hAnsi="Arial" w:cs="Arial"/>
        </w:rPr>
        <w:t xml:space="preserve">Al igual que indicamos en el párrafo anterior no tenemos evidencias que impliquen un impacto negativo en el valor contable de los activos de la Sociedad que impliquen el registro de provisiones u otro tipo de pasivos. Tan pronto como se disponga de información suficiente y fiable, se realizarán los análisis y cálculos adecuados que permitan, en su caso, la reevaluación del valor de dichos activos y pasivos.  </w:t>
      </w:r>
    </w:p>
    <w:p w14:paraId="3E4E1DD1" w14:textId="77777777" w:rsidR="000A6117" w:rsidRPr="00362602" w:rsidRDefault="000A6117" w:rsidP="00362602">
      <w:pPr>
        <w:spacing w:line="276" w:lineRule="auto"/>
        <w:jc w:val="both"/>
        <w:rPr>
          <w:rFonts w:ascii="Arial" w:hAnsi="Arial" w:cs="Arial"/>
        </w:rPr>
      </w:pPr>
    </w:p>
    <w:p w14:paraId="55DAC386" w14:textId="77777777" w:rsidR="000A6117" w:rsidRDefault="000A6117" w:rsidP="000A6117">
      <w:pPr>
        <w:spacing w:line="276" w:lineRule="auto"/>
        <w:jc w:val="both"/>
        <w:rPr>
          <w:rFonts w:ascii="Arial" w:hAnsi="Arial" w:cs="Arial"/>
          <w:u w:val="single"/>
        </w:rPr>
      </w:pPr>
      <w:r>
        <w:rPr>
          <w:rFonts w:ascii="Arial" w:hAnsi="Arial" w:cs="Arial"/>
          <w:u w:val="single"/>
        </w:rPr>
        <w:t>Riesgo de continuidad</w:t>
      </w:r>
    </w:p>
    <w:p w14:paraId="448BDB66" w14:textId="77777777" w:rsidR="00550ED1" w:rsidRPr="000A6117" w:rsidRDefault="000A6117" w:rsidP="000A6117">
      <w:pPr>
        <w:spacing w:line="276" w:lineRule="auto"/>
        <w:jc w:val="both"/>
        <w:rPr>
          <w:rFonts w:ascii="Arial" w:hAnsi="Arial" w:cs="Arial"/>
          <w:u w:val="single"/>
        </w:rPr>
      </w:pPr>
      <w:r>
        <w:rPr>
          <w:rFonts w:ascii="Arial" w:hAnsi="Arial" w:cs="Arial"/>
        </w:rPr>
        <w:t>T</w:t>
      </w:r>
      <w:r w:rsidR="00550ED1" w:rsidRPr="000A6117">
        <w:rPr>
          <w:rFonts w:ascii="Arial" w:hAnsi="Arial" w:cs="Arial"/>
        </w:rPr>
        <w:t xml:space="preserve">eniendo en cuenta todos los factores antes mencionados, los administradores consideran que la conclusión detallada en la Nota </w:t>
      </w:r>
      <w:r>
        <w:rPr>
          <w:rFonts w:ascii="Arial" w:hAnsi="Arial" w:cs="Arial"/>
        </w:rPr>
        <w:t>2</w:t>
      </w:r>
      <w:r w:rsidR="00550ED1" w:rsidRPr="000A6117">
        <w:rPr>
          <w:rFonts w:ascii="Arial" w:hAnsi="Arial" w:cs="Arial"/>
        </w:rPr>
        <w:t xml:space="preserve"> sobre aplicación del principio de empresa en funcionamiento, sigue siendo válida. </w:t>
      </w:r>
    </w:p>
    <w:p w14:paraId="446CAB3A" w14:textId="77777777" w:rsidR="00550ED1" w:rsidRDefault="00550ED1" w:rsidP="005D4910">
      <w:pPr>
        <w:jc w:val="both"/>
        <w:rPr>
          <w:rFonts w:ascii="Arial" w:hAnsi="Arial" w:cs="Arial"/>
        </w:rPr>
      </w:pPr>
    </w:p>
    <w:p w14:paraId="17F19B60" w14:textId="77777777" w:rsidR="004B39A9" w:rsidRDefault="004B39A9" w:rsidP="005D4910">
      <w:pPr>
        <w:jc w:val="both"/>
        <w:rPr>
          <w:rFonts w:ascii="Arial" w:hAnsi="Arial" w:cs="Arial"/>
        </w:rPr>
      </w:pPr>
    </w:p>
    <w:p w14:paraId="2AE27A68" w14:textId="77777777" w:rsidR="00550ED1" w:rsidRDefault="000A6117" w:rsidP="00550ED1">
      <w:pPr>
        <w:jc w:val="both"/>
      </w:pPr>
      <w:r>
        <w:rPr>
          <w:rFonts w:ascii="Arial" w:hAnsi="Arial" w:cs="Arial"/>
        </w:rPr>
        <w:t>Por último, resaltar que l</w:t>
      </w:r>
      <w:r w:rsidR="00550ED1">
        <w:rPr>
          <w:rFonts w:ascii="Arial" w:hAnsi="Arial" w:cs="Arial"/>
        </w:rPr>
        <w:t>os</w:t>
      </w:r>
      <w:r w:rsidR="004B39A9" w:rsidRPr="004B39A9">
        <w:rPr>
          <w:rFonts w:ascii="Arial" w:hAnsi="Arial" w:cs="Arial"/>
        </w:rPr>
        <w:t xml:space="preserve"> Administradores y la Dirección de la Sociedad están realizando una supervisión constante</w:t>
      </w:r>
      <w:r w:rsidR="00550ED1">
        <w:rPr>
          <w:rFonts w:ascii="Arial" w:hAnsi="Arial" w:cs="Arial"/>
        </w:rPr>
        <w:t xml:space="preserve"> de la evolución de la situación, </w:t>
      </w:r>
      <w:r w:rsidR="00EB5484">
        <w:rPr>
          <w:rFonts w:ascii="Arial" w:hAnsi="Arial" w:cs="Arial"/>
        </w:rPr>
        <w:t xml:space="preserve"> ajustando la actividad de las distintas áreas</w:t>
      </w:r>
      <w:r w:rsidR="004B39A9" w:rsidRPr="004B39A9">
        <w:rPr>
          <w:rFonts w:ascii="Arial" w:hAnsi="Arial" w:cs="Arial"/>
        </w:rPr>
        <w:t>, con el fin de afrontar con éxito los eventuales impactos, tanto financieros como no financieros, que puedan producirse.</w:t>
      </w:r>
      <w:r w:rsidR="00550ED1">
        <w:rPr>
          <w:rFonts w:ascii="Arial" w:hAnsi="Arial" w:cs="Arial"/>
        </w:rPr>
        <w:t xml:space="preserve"> </w:t>
      </w:r>
    </w:p>
    <w:p w14:paraId="4D7EBB07" w14:textId="77777777" w:rsidR="004B39A9" w:rsidRDefault="004B39A9" w:rsidP="004B39A9">
      <w:pPr>
        <w:jc w:val="both"/>
        <w:rPr>
          <w:rFonts w:ascii="Arial" w:hAnsi="Arial" w:cs="Arial"/>
        </w:rPr>
      </w:pPr>
    </w:p>
    <w:p w14:paraId="11D9CDD1" w14:textId="77777777" w:rsidR="00550ED1" w:rsidRPr="004B39A9" w:rsidRDefault="00550ED1" w:rsidP="004B39A9">
      <w:pPr>
        <w:jc w:val="both"/>
        <w:rPr>
          <w:rFonts w:ascii="Arial" w:hAnsi="Arial" w:cs="Arial"/>
        </w:rPr>
      </w:pPr>
    </w:p>
    <w:bookmarkEnd w:id="25"/>
    <w:p w14:paraId="6BB98F55" w14:textId="77777777" w:rsidR="009B0B40" w:rsidRDefault="009B0B40" w:rsidP="00A335F4">
      <w:pPr>
        <w:spacing w:line="360" w:lineRule="auto"/>
        <w:rPr>
          <w:rFonts w:ascii="Arial" w:hAnsi="Arial"/>
        </w:rPr>
      </w:pPr>
    </w:p>
    <w:p w14:paraId="48BCA9DD" w14:textId="77777777" w:rsidR="005C65A2" w:rsidRDefault="005C65A2" w:rsidP="00A335F4">
      <w:pPr>
        <w:spacing w:line="360" w:lineRule="auto"/>
        <w:rPr>
          <w:rFonts w:ascii="Arial" w:hAnsi="Arial"/>
        </w:rPr>
      </w:pPr>
    </w:p>
    <w:p w14:paraId="08CD520A" w14:textId="77777777" w:rsidR="005C65A2" w:rsidRDefault="005C65A2" w:rsidP="00A335F4">
      <w:pPr>
        <w:spacing w:line="360" w:lineRule="auto"/>
        <w:rPr>
          <w:rFonts w:ascii="Arial" w:hAnsi="Arial"/>
        </w:rPr>
      </w:pPr>
    </w:p>
    <w:p w14:paraId="47D0F970" w14:textId="77777777" w:rsidR="005C65A2" w:rsidRDefault="005C65A2" w:rsidP="00A335F4">
      <w:pPr>
        <w:spacing w:line="360" w:lineRule="auto"/>
        <w:rPr>
          <w:rFonts w:ascii="Arial" w:hAnsi="Arial"/>
        </w:rPr>
      </w:pPr>
    </w:p>
    <w:p w14:paraId="36FE132E" w14:textId="77777777" w:rsidR="005C65A2" w:rsidRDefault="005C65A2" w:rsidP="00A335F4">
      <w:pPr>
        <w:spacing w:line="360" w:lineRule="auto"/>
        <w:rPr>
          <w:rFonts w:ascii="Arial" w:hAnsi="Arial"/>
        </w:rPr>
      </w:pPr>
    </w:p>
    <w:p w14:paraId="4C32AF37" w14:textId="77777777" w:rsidR="005C65A2" w:rsidRDefault="005C65A2" w:rsidP="00A335F4">
      <w:pPr>
        <w:spacing w:line="360" w:lineRule="auto"/>
        <w:rPr>
          <w:rFonts w:ascii="Arial" w:hAnsi="Arial"/>
        </w:rPr>
      </w:pPr>
    </w:p>
    <w:p w14:paraId="4F78B336" w14:textId="77777777" w:rsidR="005C65A2" w:rsidRDefault="005C65A2" w:rsidP="00A335F4">
      <w:pPr>
        <w:spacing w:line="360" w:lineRule="auto"/>
        <w:rPr>
          <w:rFonts w:ascii="Arial" w:hAnsi="Arial"/>
        </w:rPr>
      </w:pPr>
    </w:p>
    <w:p w14:paraId="647FFD79" w14:textId="77777777" w:rsidR="005C65A2" w:rsidRDefault="005C65A2" w:rsidP="00A335F4">
      <w:pPr>
        <w:spacing w:line="360" w:lineRule="auto"/>
        <w:rPr>
          <w:rFonts w:ascii="Arial" w:hAnsi="Arial"/>
        </w:rPr>
      </w:pPr>
    </w:p>
    <w:p w14:paraId="1D2C0983" w14:textId="77777777" w:rsidR="005C65A2" w:rsidRDefault="005C65A2" w:rsidP="00A335F4">
      <w:pPr>
        <w:spacing w:line="360" w:lineRule="auto"/>
        <w:rPr>
          <w:rFonts w:ascii="Arial" w:hAnsi="Arial"/>
        </w:rPr>
      </w:pPr>
    </w:p>
    <w:p w14:paraId="3D75B869" w14:textId="77777777" w:rsidR="005C65A2" w:rsidRDefault="005C65A2" w:rsidP="00A335F4">
      <w:pPr>
        <w:spacing w:line="360" w:lineRule="auto"/>
        <w:rPr>
          <w:rFonts w:ascii="Arial" w:hAnsi="Arial"/>
        </w:rPr>
      </w:pPr>
    </w:p>
    <w:p w14:paraId="68307B78" w14:textId="77777777" w:rsidR="005C65A2" w:rsidRDefault="005C65A2" w:rsidP="00A335F4">
      <w:pPr>
        <w:spacing w:line="360" w:lineRule="auto"/>
        <w:rPr>
          <w:rFonts w:ascii="Arial" w:hAnsi="Arial"/>
        </w:rPr>
      </w:pPr>
    </w:p>
    <w:p w14:paraId="26FD96F1" w14:textId="77777777" w:rsidR="005C65A2" w:rsidRDefault="005C65A2" w:rsidP="00A335F4">
      <w:pPr>
        <w:spacing w:line="360" w:lineRule="auto"/>
        <w:rPr>
          <w:rFonts w:ascii="Arial" w:hAnsi="Arial"/>
        </w:rPr>
      </w:pPr>
    </w:p>
    <w:tbl>
      <w:tblPr>
        <w:tblW w:w="928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0A0" w:firstRow="1" w:lastRow="0" w:firstColumn="1" w:lastColumn="0" w:noHBand="0" w:noVBand="0"/>
      </w:tblPr>
      <w:tblGrid>
        <w:gridCol w:w="2518"/>
        <w:gridCol w:w="6770"/>
      </w:tblGrid>
      <w:tr w:rsidR="009B0B40" w14:paraId="32B5EBDA" w14:textId="77777777" w:rsidTr="002D71D7">
        <w:trPr>
          <w:trHeight w:val="623"/>
        </w:trPr>
        <w:tc>
          <w:tcPr>
            <w:tcW w:w="2518" w:type="dxa"/>
          </w:tcPr>
          <w:p w14:paraId="6994680D" w14:textId="77777777" w:rsidR="009B0B40" w:rsidRDefault="009B0B40" w:rsidP="00CE29B3">
            <w:pPr>
              <w:jc w:val="right"/>
              <w:rPr>
                <w:noProof/>
              </w:rPr>
            </w:pPr>
          </w:p>
        </w:tc>
        <w:tc>
          <w:tcPr>
            <w:tcW w:w="6770" w:type="dxa"/>
          </w:tcPr>
          <w:p w14:paraId="7D68A604" w14:textId="77777777" w:rsidR="009B0B40" w:rsidRPr="008B162D" w:rsidRDefault="009B0B40" w:rsidP="00CE29B3">
            <w:pPr>
              <w:rPr>
                <w:rFonts w:ascii="EurostileTMed" w:hAnsi="EurostileTMed"/>
                <w:color w:val="005BA6"/>
                <w:sz w:val="40"/>
                <w:szCs w:val="40"/>
              </w:rPr>
            </w:pPr>
          </w:p>
        </w:tc>
      </w:tr>
      <w:tr w:rsidR="009B0B40" w14:paraId="368673B9" w14:textId="77777777" w:rsidTr="002D71D7">
        <w:trPr>
          <w:trHeight w:val="1456"/>
        </w:trPr>
        <w:tc>
          <w:tcPr>
            <w:tcW w:w="2518" w:type="dxa"/>
            <w:shd w:val="clear" w:color="auto" w:fill="005BA6"/>
          </w:tcPr>
          <w:p w14:paraId="0825E28A" w14:textId="77777777" w:rsidR="009B0B40" w:rsidRDefault="009B0B40" w:rsidP="00CE29B3">
            <w:pPr>
              <w:spacing w:before="240"/>
              <w:jc w:val="right"/>
            </w:pPr>
          </w:p>
        </w:tc>
        <w:tc>
          <w:tcPr>
            <w:tcW w:w="6770" w:type="dxa"/>
            <w:shd w:val="clear" w:color="auto" w:fill="BFBFBF"/>
          </w:tcPr>
          <w:p w14:paraId="30708187" w14:textId="77777777" w:rsidR="009B0B40" w:rsidRPr="00FA46FC" w:rsidRDefault="009B0B40" w:rsidP="00CE29B3">
            <w:pPr>
              <w:jc w:val="right"/>
              <w:rPr>
                <w:rFonts w:ascii="EurostileTMed" w:hAnsi="EurostileTMed"/>
                <w:color w:val="17365D"/>
                <w:sz w:val="40"/>
                <w:szCs w:val="40"/>
              </w:rPr>
            </w:pPr>
          </w:p>
          <w:p w14:paraId="6725F720" w14:textId="77777777" w:rsidR="009B0B40" w:rsidRPr="00CE29B3" w:rsidRDefault="009B0B40" w:rsidP="00CE29B3">
            <w:pPr>
              <w:pStyle w:val="Ttulo2"/>
              <w:rPr>
                <w:sz w:val="40"/>
                <w:szCs w:val="40"/>
              </w:rPr>
            </w:pPr>
            <w:r w:rsidRPr="00CE29B3">
              <w:rPr>
                <w:sz w:val="40"/>
                <w:szCs w:val="40"/>
              </w:rPr>
              <w:t>INFORME DE GESTIÓN</w:t>
            </w:r>
          </w:p>
        </w:tc>
      </w:tr>
    </w:tbl>
    <w:p w14:paraId="5F1245AA" w14:textId="77777777" w:rsidR="009B0B40" w:rsidRDefault="009B0B40" w:rsidP="00FB3856">
      <w:pPr>
        <w:spacing w:line="360" w:lineRule="auto"/>
        <w:jc w:val="center"/>
        <w:rPr>
          <w:rFonts w:ascii="Arial" w:hAnsi="Arial"/>
        </w:rPr>
      </w:pPr>
    </w:p>
    <w:p w14:paraId="5B077335" w14:textId="77777777" w:rsidR="009B0B40" w:rsidRDefault="009B0B40" w:rsidP="00FB3856">
      <w:pPr>
        <w:spacing w:line="360" w:lineRule="auto"/>
        <w:jc w:val="center"/>
        <w:rPr>
          <w:rFonts w:ascii="Arial" w:hAnsi="Arial"/>
        </w:rPr>
      </w:pPr>
    </w:p>
    <w:p w14:paraId="47DB9A09" w14:textId="77777777" w:rsidR="009B0B40" w:rsidRDefault="009B0B40" w:rsidP="00FB3856">
      <w:pPr>
        <w:spacing w:line="360" w:lineRule="auto"/>
        <w:jc w:val="center"/>
        <w:rPr>
          <w:rFonts w:ascii="Arial" w:hAnsi="Arial"/>
        </w:rPr>
      </w:pPr>
    </w:p>
    <w:p w14:paraId="4EB126AE" w14:textId="77777777" w:rsidR="009B0B40" w:rsidRDefault="009B0B40" w:rsidP="00FB3856">
      <w:pPr>
        <w:spacing w:line="360" w:lineRule="auto"/>
        <w:jc w:val="center"/>
        <w:rPr>
          <w:rFonts w:ascii="Arial" w:hAnsi="Arial"/>
        </w:rPr>
      </w:pPr>
    </w:p>
    <w:p w14:paraId="7D25D220" w14:textId="77777777" w:rsidR="009B0B40" w:rsidRDefault="009B0B40" w:rsidP="00FB3856">
      <w:pPr>
        <w:spacing w:line="360" w:lineRule="auto"/>
        <w:jc w:val="center"/>
        <w:rPr>
          <w:rFonts w:ascii="Arial" w:hAnsi="Arial"/>
        </w:rPr>
      </w:pPr>
    </w:p>
    <w:p w14:paraId="2EFB0B90" w14:textId="77777777" w:rsidR="008C4108" w:rsidRPr="00F76063" w:rsidRDefault="009B0B40" w:rsidP="008C4108">
      <w:pPr>
        <w:pStyle w:val="Ttulo1"/>
        <w:spacing w:before="200" w:line="276" w:lineRule="auto"/>
        <w:rPr>
          <w:rFonts w:ascii="EurostileT" w:hAnsi="EurostileT" w:cs="Arial"/>
          <w:color w:val="005BA6"/>
          <w:sz w:val="28"/>
          <w:szCs w:val="28"/>
          <w:lang w:val="es-ES"/>
        </w:rPr>
      </w:pPr>
      <w:r w:rsidRPr="00F76063">
        <w:rPr>
          <w:rFonts w:ascii="Arial" w:hAnsi="Arial"/>
          <w:lang w:val="es-ES"/>
        </w:rPr>
        <w:br w:type="page"/>
      </w:r>
      <w:bookmarkStart w:id="26" w:name="_Toc350855632"/>
      <w:r w:rsidR="008C4108" w:rsidRPr="00F76063">
        <w:rPr>
          <w:rFonts w:ascii="EurostileT" w:hAnsi="EurostileT" w:cs="Arial"/>
          <w:color w:val="005BA6"/>
          <w:sz w:val="28"/>
          <w:szCs w:val="28"/>
          <w:lang w:val="es-ES"/>
        </w:rPr>
        <w:t>INFORME DE GESTION</w:t>
      </w:r>
      <w:bookmarkEnd w:id="26"/>
    </w:p>
    <w:p w14:paraId="6FF7698D" w14:textId="77777777" w:rsidR="008C4108" w:rsidRPr="002E640A" w:rsidRDefault="008C4108" w:rsidP="008C4108">
      <w:pPr>
        <w:spacing w:before="200" w:line="276" w:lineRule="auto"/>
        <w:ind w:left="284" w:hanging="284"/>
        <w:jc w:val="both"/>
        <w:rPr>
          <w:rFonts w:ascii="Arial" w:hAnsi="Arial" w:cs="Arial"/>
          <w:color w:val="005BA6"/>
        </w:rPr>
      </w:pPr>
      <w:r w:rsidRPr="002E640A">
        <w:rPr>
          <w:rFonts w:ascii="Arial" w:hAnsi="Arial" w:cs="Arial"/>
          <w:color w:val="005BA6"/>
        </w:rPr>
        <w:t>1.</w:t>
      </w:r>
      <w:r w:rsidRPr="002E640A">
        <w:rPr>
          <w:rFonts w:ascii="Arial" w:hAnsi="Arial" w:cs="Arial"/>
          <w:color w:val="005BA6"/>
        </w:rPr>
        <w:tab/>
        <w:t>Acontecimientos relevantes para la Sociedad ocurridos después del cierre del ejercicio</w:t>
      </w:r>
    </w:p>
    <w:p w14:paraId="0199490D" w14:textId="77777777" w:rsidR="001705B5" w:rsidRDefault="008C4108" w:rsidP="008C4108">
      <w:pPr>
        <w:spacing w:before="200" w:line="276" w:lineRule="auto"/>
        <w:jc w:val="both"/>
        <w:rPr>
          <w:rFonts w:ascii="Arial" w:hAnsi="Arial" w:cs="Arial"/>
        </w:rPr>
      </w:pPr>
      <w:r w:rsidRPr="000A7408">
        <w:rPr>
          <w:rFonts w:ascii="Arial" w:hAnsi="Arial" w:cs="Arial"/>
        </w:rPr>
        <w:t>El Consejo de Administración someterá las cuentas anuales a la Asamblea general Ordinaria de la Junta de Socios. Las normas de presentación obligadas por el establecimiento de cuentas son conformes según la reglamentación en vigor.</w:t>
      </w:r>
    </w:p>
    <w:p w14:paraId="709430E4" w14:textId="77777777" w:rsidR="002B24F8" w:rsidRPr="00F95770" w:rsidRDefault="00695C57" w:rsidP="002B24F8">
      <w:pPr>
        <w:pStyle w:val="Ttulo2"/>
        <w:spacing w:before="200" w:line="276" w:lineRule="auto"/>
        <w:ind w:left="0" w:firstLine="0"/>
        <w:rPr>
          <w:rFonts w:ascii="Arial" w:hAnsi="Arial" w:cs="Arial"/>
          <w:b w:val="0"/>
          <w:color w:val="auto"/>
          <w:sz w:val="20"/>
        </w:rPr>
      </w:pPr>
      <w:r w:rsidRPr="002B24F8">
        <w:rPr>
          <w:rFonts w:ascii="Arial" w:hAnsi="Arial" w:cs="Arial"/>
          <w:b w:val="0"/>
          <w:color w:val="auto"/>
          <w:sz w:val="20"/>
        </w:rPr>
        <w:t>Tal y como se menciona en la nota 2</w:t>
      </w:r>
      <w:r w:rsidR="002B24F8" w:rsidRPr="002B24F8">
        <w:rPr>
          <w:rFonts w:ascii="Arial" w:hAnsi="Arial" w:cs="Arial"/>
          <w:b w:val="0"/>
          <w:color w:val="auto"/>
          <w:sz w:val="20"/>
        </w:rPr>
        <w:t>3</w:t>
      </w:r>
      <w:r w:rsidRPr="002B24F8">
        <w:rPr>
          <w:rFonts w:ascii="Arial" w:hAnsi="Arial" w:cs="Arial"/>
          <w:b w:val="0"/>
          <w:color w:val="auto"/>
          <w:sz w:val="20"/>
        </w:rPr>
        <w:t xml:space="preserve"> “Acontecimientos posteriores al cierre”, </w:t>
      </w:r>
      <w:r w:rsidR="002B24F8" w:rsidRPr="002B24F8">
        <w:rPr>
          <w:rFonts w:ascii="Arial" w:hAnsi="Arial" w:cs="Arial"/>
          <w:b w:val="0"/>
          <w:color w:val="auto"/>
          <w:sz w:val="20"/>
        </w:rPr>
        <w:t>la</w:t>
      </w:r>
      <w:r w:rsidR="002B24F8" w:rsidRPr="00F95770">
        <w:rPr>
          <w:rFonts w:ascii="Arial" w:hAnsi="Arial" w:cs="Arial"/>
          <w:b w:val="0"/>
          <w:color w:val="auto"/>
          <w:sz w:val="20"/>
        </w:rPr>
        <w:t xml:space="preserve"> aparición del Coronavirus COVID-19 en China en enero de 2020 y su reciente expansión global a un gran número de países, entre ellos España, ha motivado que el brote vírico haya sido calificado como una pandemia por la Organización Mundial de la Salud desde el pasado 11 de marzo.</w:t>
      </w:r>
    </w:p>
    <w:p w14:paraId="00248B60" w14:textId="77777777" w:rsidR="002B24F8" w:rsidRDefault="002B24F8" w:rsidP="002B24F8">
      <w:pPr>
        <w:jc w:val="both"/>
      </w:pPr>
    </w:p>
    <w:p w14:paraId="15039A26" w14:textId="77777777" w:rsidR="002B24F8" w:rsidRPr="00F95770" w:rsidRDefault="002B24F8" w:rsidP="002B24F8">
      <w:pPr>
        <w:jc w:val="both"/>
        <w:rPr>
          <w:rFonts w:ascii="Arial" w:hAnsi="Arial" w:cs="Arial"/>
        </w:rPr>
      </w:pPr>
      <w:r w:rsidRPr="00F95770">
        <w:rPr>
          <w:rFonts w:ascii="Arial" w:hAnsi="Arial" w:cs="Arial"/>
        </w:rPr>
        <w:t>Debido a la incertidumbre existente en relación con esta pandemia y ante la ausencia, por el momento, de un tratamiento médico eficaz contra el virus, las consecuencias para las operaciones de la Sociedad son inciertas y van a depender en gran medida de la evolución y extensión de dicha pandemia en los próximos meses, así como de la capacidad de reacción y adaptación de todos los agentes económicos impactados.</w:t>
      </w:r>
    </w:p>
    <w:p w14:paraId="463D6717" w14:textId="77777777" w:rsidR="002B24F8" w:rsidRPr="00E15F3F" w:rsidRDefault="002B24F8" w:rsidP="002B24F8">
      <w:pPr>
        <w:jc w:val="both"/>
      </w:pPr>
    </w:p>
    <w:p w14:paraId="3CA8C9E9" w14:textId="77777777" w:rsidR="002B24F8" w:rsidRDefault="002B24F8" w:rsidP="002B24F8">
      <w:pPr>
        <w:spacing w:line="276" w:lineRule="auto"/>
        <w:jc w:val="both"/>
        <w:rPr>
          <w:rFonts w:ascii="Arial" w:hAnsi="Arial" w:cs="Arial"/>
        </w:rPr>
      </w:pPr>
      <w:r w:rsidRPr="00F95770">
        <w:rPr>
          <w:rFonts w:ascii="Arial" w:hAnsi="Arial" w:cs="Arial"/>
        </w:rPr>
        <w:t xml:space="preserve">Por todo ello, a la fecha de formulación de estas Cuentas Anuales es prematuro realizar una valoración detallada o cuantificación de los posibles impactos que tendrá el COVID-19 sobre la Sociedad, debido a la incertidumbre sobre sus consecuencias, a corto, medio y largo plazo. </w:t>
      </w:r>
    </w:p>
    <w:p w14:paraId="3256B28F" w14:textId="77777777" w:rsidR="002B24F8" w:rsidRDefault="002B24F8" w:rsidP="002B24F8">
      <w:pPr>
        <w:spacing w:line="276" w:lineRule="auto"/>
        <w:jc w:val="both"/>
        <w:rPr>
          <w:rFonts w:ascii="Arial" w:hAnsi="Arial" w:cs="Arial"/>
        </w:rPr>
      </w:pPr>
    </w:p>
    <w:p w14:paraId="430CD34B" w14:textId="77777777" w:rsidR="002B24F8" w:rsidRDefault="002B24F8" w:rsidP="002B24F8">
      <w:pPr>
        <w:spacing w:line="276" w:lineRule="auto"/>
        <w:jc w:val="both"/>
        <w:rPr>
          <w:rFonts w:ascii="Arial" w:hAnsi="Arial" w:cs="Arial"/>
        </w:rPr>
      </w:pPr>
      <w:r>
        <w:rPr>
          <w:rFonts w:ascii="Arial" w:hAnsi="Arial" w:cs="Arial"/>
        </w:rPr>
        <w:t>No obstante, los Administradores y la Dirección de la Sociedad han realizado una evaluación preliminar de la situación actual conforme a la mejor información disponible, Por las consideraciones mencionadas anteriormente, dicha información puede ser incompleta. De los resultados de dicha evaluación, se destacan los siguientes aspectos:</w:t>
      </w:r>
    </w:p>
    <w:p w14:paraId="5E12B8B0" w14:textId="77777777" w:rsidR="002B24F8" w:rsidRDefault="002B24F8" w:rsidP="002B24F8">
      <w:pPr>
        <w:jc w:val="both"/>
        <w:rPr>
          <w:rFonts w:ascii="Arial" w:hAnsi="Arial" w:cs="Arial"/>
        </w:rPr>
      </w:pPr>
    </w:p>
    <w:p w14:paraId="0F442CFB" w14:textId="77777777" w:rsidR="002B24F8" w:rsidRDefault="002B24F8" w:rsidP="002B24F8">
      <w:pPr>
        <w:spacing w:line="276" w:lineRule="auto"/>
        <w:jc w:val="both"/>
        <w:rPr>
          <w:rFonts w:ascii="Arial" w:hAnsi="Arial" w:cs="Arial"/>
          <w:u w:val="single"/>
        </w:rPr>
      </w:pPr>
      <w:r>
        <w:rPr>
          <w:rFonts w:ascii="Arial" w:hAnsi="Arial" w:cs="Arial"/>
          <w:u w:val="single"/>
        </w:rPr>
        <w:t>Riesgo de liquidez</w:t>
      </w:r>
    </w:p>
    <w:p w14:paraId="457E4205" w14:textId="77777777" w:rsidR="002B24F8" w:rsidRDefault="002B24F8" w:rsidP="002B24F8">
      <w:pPr>
        <w:spacing w:line="276" w:lineRule="auto"/>
        <w:jc w:val="both"/>
        <w:rPr>
          <w:rFonts w:ascii="Arial" w:hAnsi="Arial" w:cs="Arial"/>
        </w:rPr>
      </w:pPr>
      <w:r>
        <w:rPr>
          <w:rFonts w:ascii="Arial" w:hAnsi="Arial" w:cs="Arial"/>
        </w:rPr>
        <w:t>Debido a la situación general de los mercados, se prevé que pueda existir un aumento general de las tensiones de liquidez en la economía, así como una contracción del mercado de crédito. En este sentido, la Sociedad no espera tener tensiones de tesorería debido a que finalizó el ejercicio 2019 con más de 6 millones de euros en tesorería. Por otro lado, debido a que la actividad principal de la empresa se ha considerado como esencial y que nuestro principal cliente es Gobierno de Navarra, es previsible que nuestro volumen de actividad no se vea afectado de manera sustancial. El riesgo de liquidez podría surgir en el caso que Gobierno de Navarra tuviera dificultades para realizar el abono de los servicios prestados como consecuencia del impacto en sus presupuestos por la situación ocasionada por el COVID-19.</w:t>
      </w:r>
    </w:p>
    <w:p w14:paraId="17B7936F" w14:textId="77777777" w:rsidR="002B24F8" w:rsidRDefault="002B24F8" w:rsidP="002B24F8">
      <w:pPr>
        <w:jc w:val="both"/>
        <w:rPr>
          <w:rFonts w:ascii="Arial" w:hAnsi="Arial" w:cs="Arial"/>
        </w:rPr>
      </w:pPr>
    </w:p>
    <w:p w14:paraId="789FC617" w14:textId="77777777" w:rsidR="002B24F8" w:rsidRDefault="002B24F8" w:rsidP="002B24F8">
      <w:pPr>
        <w:spacing w:line="276" w:lineRule="auto"/>
        <w:jc w:val="both"/>
        <w:rPr>
          <w:rFonts w:ascii="Arial" w:hAnsi="Arial" w:cs="Arial"/>
          <w:u w:val="single"/>
        </w:rPr>
      </w:pPr>
      <w:r>
        <w:rPr>
          <w:rFonts w:ascii="Arial" w:hAnsi="Arial" w:cs="Arial"/>
          <w:u w:val="single"/>
        </w:rPr>
        <w:t>Riesgo de operaciones</w:t>
      </w:r>
    </w:p>
    <w:p w14:paraId="247F461C" w14:textId="77777777" w:rsidR="002B24F8" w:rsidRPr="00C77FF2" w:rsidRDefault="002B24F8" w:rsidP="002B24F8">
      <w:pPr>
        <w:spacing w:line="276" w:lineRule="auto"/>
        <w:jc w:val="both"/>
        <w:rPr>
          <w:rFonts w:ascii="Arial" w:hAnsi="Arial" w:cs="Arial"/>
        </w:rPr>
      </w:pPr>
      <w:r>
        <w:rPr>
          <w:rFonts w:ascii="Arial" w:hAnsi="Arial" w:cs="Arial"/>
        </w:rPr>
        <w:t xml:space="preserve">La situación cambiante e impredecible de los acontecimientos podría llegar a implicar la aparición de un riesgo de interrupción temporal de los servicios que presta la Sociedad. Inicialmente, esto resulta poco probable ya que como se ha manifestado en el párrafo anterior, INTIA está considerada como empresa que desarrolla servicios esenciales por lo que su actividad se mantiene. </w:t>
      </w:r>
      <w:r w:rsidRPr="00EE50B2">
        <w:rPr>
          <w:rFonts w:ascii="Arial" w:hAnsi="Arial" w:cs="Arial"/>
        </w:rPr>
        <w:t xml:space="preserve">Lo que ha variado </w:t>
      </w:r>
      <w:r>
        <w:rPr>
          <w:rFonts w:ascii="Arial" w:hAnsi="Arial" w:cs="Arial"/>
        </w:rPr>
        <w:t xml:space="preserve">es el modo de llevar a cabo su actividad con el fin de minimizar el impacto de la situación actual en la prestación de sus servicios: </w:t>
      </w:r>
      <w:r w:rsidRPr="00EE50B2">
        <w:rPr>
          <w:rFonts w:ascii="Arial" w:hAnsi="Arial" w:cs="Arial"/>
        </w:rPr>
        <w:t>aproximadamente el 70% de la plantilla está desarrollando su trabajo por teletrabajo y un 30% lo hace en modalidad mixta, ya que hay servicios en los que es imprescindible la presencia de los técnicos.</w:t>
      </w:r>
    </w:p>
    <w:p w14:paraId="41B16D6C" w14:textId="77777777" w:rsidR="002B24F8" w:rsidRPr="00C77FF2" w:rsidRDefault="002B24F8" w:rsidP="002B24F8">
      <w:pPr>
        <w:jc w:val="both"/>
        <w:rPr>
          <w:rFonts w:ascii="Arial" w:hAnsi="Arial" w:cs="Arial"/>
          <w:u w:val="single"/>
        </w:rPr>
      </w:pPr>
    </w:p>
    <w:p w14:paraId="4EBFAC7D" w14:textId="77777777" w:rsidR="002D71D7" w:rsidRDefault="002D71D7">
      <w:pPr>
        <w:rPr>
          <w:rFonts w:ascii="Arial" w:hAnsi="Arial" w:cs="Arial"/>
          <w:u w:val="single"/>
        </w:rPr>
      </w:pPr>
      <w:r>
        <w:rPr>
          <w:rFonts w:ascii="Arial" w:hAnsi="Arial" w:cs="Arial"/>
          <w:u w:val="single"/>
        </w:rPr>
        <w:br w:type="page"/>
      </w:r>
    </w:p>
    <w:p w14:paraId="2A491299" w14:textId="77777777" w:rsidR="002B24F8" w:rsidRDefault="002B24F8" w:rsidP="002B24F8">
      <w:pPr>
        <w:spacing w:line="276" w:lineRule="auto"/>
        <w:jc w:val="both"/>
        <w:rPr>
          <w:rFonts w:ascii="Arial" w:hAnsi="Arial" w:cs="Arial"/>
          <w:u w:val="single"/>
        </w:rPr>
      </w:pPr>
      <w:r>
        <w:rPr>
          <w:rFonts w:ascii="Arial" w:hAnsi="Arial" w:cs="Arial"/>
          <w:u w:val="single"/>
        </w:rPr>
        <w:t>Riesgo de variación de determinadas magnitudes financieras</w:t>
      </w:r>
    </w:p>
    <w:p w14:paraId="505B5398" w14:textId="77777777" w:rsidR="002B24F8" w:rsidRDefault="002B24F8" w:rsidP="002B24F8">
      <w:pPr>
        <w:spacing w:line="276" w:lineRule="auto"/>
        <w:jc w:val="both"/>
        <w:rPr>
          <w:rFonts w:ascii="Arial" w:hAnsi="Arial" w:cs="Arial"/>
        </w:rPr>
      </w:pPr>
      <w:r>
        <w:rPr>
          <w:rFonts w:ascii="Arial" w:hAnsi="Arial" w:cs="Arial"/>
        </w:rPr>
        <w:t>Los factores que se han mencionado anteriormente indican que en estos momentos, a pesar de toda la incertidumbre, no existen motivos evidentes que provoquen importantes cambios en los Estados Financieros de la Sociedad.</w:t>
      </w:r>
    </w:p>
    <w:p w14:paraId="5AA2CA28" w14:textId="77777777" w:rsidR="002B24F8" w:rsidRDefault="002B24F8" w:rsidP="002B24F8">
      <w:pPr>
        <w:spacing w:line="276" w:lineRule="auto"/>
        <w:jc w:val="both"/>
        <w:rPr>
          <w:rFonts w:ascii="Arial" w:hAnsi="Arial" w:cs="Arial"/>
        </w:rPr>
      </w:pPr>
    </w:p>
    <w:p w14:paraId="32323580" w14:textId="77777777" w:rsidR="002B24F8" w:rsidRDefault="002B24F8" w:rsidP="002B24F8">
      <w:pPr>
        <w:spacing w:line="276" w:lineRule="auto"/>
        <w:jc w:val="both"/>
        <w:rPr>
          <w:rFonts w:ascii="Arial" w:hAnsi="Arial" w:cs="Arial"/>
          <w:u w:val="single"/>
        </w:rPr>
      </w:pPr>
      <w:r>
        <w:rPr>
          <w:rFonts w:ascii="Arial" w:hAnsi="Arial" w:cs="Arial"/>
          <w:u w:val="single"/>
        </w:rPr>
        <w:t>Riesgo de valoración de los activos y pasivos del balance</w:t>
      </w:r>
    </w:p>
    <w:p w14:paraId="4B3B4897" w14:textId="77777777" w:rsidR="002B24F8" w:rsidRPr="00362602" w:rsidRDefault="002B24F8" w:rsidP="002B24F8">
      <w:pPr>
        <w:spacing w:line="276" w:lineRule="auto"/>
        <w:jc w:val="both"/>
        <w:rPr>
          <w:rFonts w:ascii="Arial" w:hAnsi="Arial" w:cs="Arial"/>
        </w:rPr>
      </w:pPr>
      <w:r>
        <w:rPr>
          <w:rFonts w:ascii="Arial" w:hAnsi="Arial" w:cs="Arial"/>
        </w:rPr>
        <w:t xml:space="preserve">Al igual que indicamos en el párrafo anterior no tenemos evidencias que impliquen un impacto negativo en el valor contable de los activos de la Sociedad que impliquen el registro de provisiones u otro tipo de pasivos. Tan pronto como se disponga de información suficiente y fiable, se realizarán los análisis y cálculos adecuados que permitan, en su caso, la reevaluación del valor de dichos activos y pasivos.  </w:t>
      </w:r>
    </w:p>
    <w:p w14:paraId="3C5CA192" w14:textId="77777777" w:rsidR="002B24F8" w:rsidRPr="00362602" w:rsidRDefault="002B24F8" w:rsidP="002B24F8">
      <w:pPr>
        <w:spacing w:line="276" w:lineRule="auto"/>
        <w:jc w:val="both"/>
        <w:rPr>
          <w:rFonts w:ascii="Arial" w:hAnsi="Arial" w:cs="Arial"/>
        </w:rPr>
      </w:pPr>
    </w:p>
    <w:p w14:paraId="48AF3A47" w14:textId="77777777" w:rsidR="002B24F8" w:rsidRDefault="002B24F8" w:rsidP="002B24F8">
      <w:pPr>
        <w:spacing w:line="276" w:lineRule="auto"/>
        <w:jc w:val="both"/>
        <w:rPr>
          <w:rFonts w:ascii="Arial" w:hAnsi="Arial" w:cs="Arial"/>
          <w:u w:val="single"/>
        </w:rPr>
      </w:pPr>
      <w:r>
        <w:rPr>
          <w:rFonts w:ascii="Arial" w:hAnsi="Arial" w:cs="Arial"/>
          <w:u w:val="single"/>
        </w:rPr>
        <w:t>Riesgo de continuidad</w:t>
      </w:r>
    </w:p>
    <w:p w14:paraId="055B8047" w14:textId="77777777" w:rsidR="000A36EF" w:rsidRDefault="002B24F8">
      <w:pPr>
        <w:spacing w:line="276" w:lineRule="auto"/>
        <w:jc w:val="both"/>
        <w:rPr>
          <w:rFonts w:ascii="Arial" w:hAnsi="Arial" w:cs="Arial"/>
        </w:rPr>
      </w:pPr>
      <w:r>
        <w:rPr>
          <w:rFonts w:ascii="Arial" w:hAnsi="Arial" w:cs="Arial"/>
        </w:rPr>
        <w:t>T</w:t>
      </w:r>
      <w:r w:rsidRPr="000A6117">
        <w:rPr>
          <w:rFonts w:ascii="Arial" w:hAnsi="Arial" w:cs="Arial"/>
        </w:rPr>
        <w:t xml:space="preserve">eniendo en cuenta todos los factores antes mencionados, los administradores consideran que la conclusión detallada en la Nota </w:t>
      </w:r>
      <w:r>
        <w:rPr>
          <w:rFonts w:ascii="Arial" w:hAnsi="Arial" w:cs="Arial"/>
        </w:rPr>
        <w:t>2</w:t>
      </w:r>
      <w:r w:rsidRPr="000A6117">
        <w:rPr>
          <w:rFonts w:ascii="Arial" w:hAnsi="Arial" w:cs="Arial"/>
        </w:rPr>
        <w:t xml:space="preserve"> sobre aplicación del principio de empresa en funcionamiento, sigue siendo válida</w:t>
      </w:r>
      <w:r>
        <w:rPr>
          <w:rFonts w:ascii="Arial" w:hAnsi="Arial" w:cs="Arial"/>
        </w:rPr>
        <w:t xml:space="preserve"> por lo que los principios y criterios contables no tienen como propósito determinar el valor del patrimonio neto a efectos de su transmisión global o parcial o liquidación.</w:t>
      </w:r>
    </w:p>
    <w:p w14:paraId="2254C60A" w14:textId="77777777" w:rsidR="002B24F8" w:rsidRDefault="002B24F8" w:rsidP="002B24F8">
      <w:pPr>
        <w:spacing w:line="276" w:lineRule="auto"/>
        <w:jc w:val="both"/>
        <w:rPr>
          <w:rFonts w:ascii="Arial" w:hAnsi="Arial" w:cs="Arial"/>
        </w:rPr>
      </w:pPr>
    </w:p>
    <w:p w14:paraId="293E217C" w14:textId="77777777" w:rsidR="002B24F8" w:rsidRPr="002B24F8" w:rsidRDefault="002B24F8" w:rsidP="002B24F8">
      <w:pPr>
        <w:spacing w:line="276" w:lineRule="auto"/>
        <w:jc w:val="both"/>
        <w:rPr>
          <w:rFonts w:ascii="Arial" w:hAnsi="Arial" w:cs="Arial"/>
          <w:u w:val="single"/>
        </w:rPr>
      </w:pPr>
      <w:r>
        <w:rPr>
          <w:rFonts w:ascii="Arial" w:hAnsi="Arial" w:cs="Arial"/>
        </w:rPr>
        <w:t>Por último, resaltar que los</w:t>
      </w:r>
      <w:r w:rsidRPr="004B39A9">
        <w:rPr>
          <w:rFonts w:ascii="Arial" w:hAnsi="Arial" w:cs="Arial"/>
        </w:rPr>
        <w:t xml:space="preserve"> Administradores y la Dirección de la Sociedad están realizando una supervisión constante</w:t>
      </w:r>
      <w:r>
        <w:rPr>
          <w:rFonts w:ascii="Arial" w:hAnsi="Arial" w:cs="Arial"/>
        </w:rPr>
        <w:t xml:space="preserve"> de la evolución de la situación,  ajustando la actividad de las distintas áreas</w:t>
      </w:r>
      <w:r w:rsidRPr="004B39A9">
        <w:rPr>
          <w:rFonts w:ascii="Arial" w:hAnsi="Arial" w:cs="Arial"/>
        </w:rPr>
        <w:t>, con el fin de afrontar con éxito los eventuales impactos, tanto financieros como no financieros, que puedan producirse</w:t>
      </w:r>
    </w:p>
    <w:p w14:paraId="4F976032" w14:textId="77777777" w:rsidR="006F2433" w:rsidRDefault="006F2433" w:rsidP="006F2433">
      <w:pPr>
        <w:jc w:val="both"/>
        <w:rPr>
          <w:rFonts w:ascii="Arial" w:hAnsi="Arial" w:cs="Arial"/>
          <w:b/>
        </w:rPr>
      </w:pPr>
    </w:p>
    <w:p w14:paraId="7D52494F" w14:textId="77777777" w:rsidR="008C4108" w:rsidRPr="000A7408" w:rsidRDefault="008C4108" w:rsidP="008C4108">
      <w:pPr>
        <w:spacing w:before="200" w:line="276" w:lineRule="auto"/>
        <w:ind w:left="284" w:hanging="284"/>
        <w:rPr>
          <w:rFonts w:ascii="Arial" w:hAnsi="Arial" w:cs="Arial"/>
          <w:color w:val="005BA6"/>
        </w:rPr>
      </w:pPr>
      <w:r w:rsidRPr="0027685B">
        <w:rPr>
          <w:rFonts w:ascii="Arial" w:hAnsi="Arial" w:cs="Arial"/>
          <w:color w:val="005BA6"/>
        </w:rPr>
        <w:t xml:space="preserve">2. </w:t>
      </w:r>
      <w:r w:rsidRPr="0027685B">
        <w:rPr>
          <w:rFonts w:ascii="Arial" w:hAnsi="Arial" w:cs="Arial"/>
          <w:color w:val="005BA6"/>
        </w:rPr>
        <w:tab/>
        <w:t>Evolución previsible de la Sociedad</w:t>
      </w:r>
    </w:p>
    <w:p w14:paraId="58D35229"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Pr>
          <w:rFonts w:ascii="Arial" w:hAnsi="Arial" w:cs="Arial"/>
        </w:rPr>
        <w:t>En el Área de C</w:t>
      </w:r>
      <w:r w:rsidRPr="00C8553E">
        <w:rPr>
          <w:rFonts w:ascii="Arial" w:hAnsi="Arial" w:cs="Arial"/>
        </w:rPr>
        <w:t xml:space="preserve">onocimiento, se espera seguir obteniendo proyectos de investigación. </w:t>
      </w:r>
      <w:r>
        <w:rPr>
          <w:rFonts w:ascii="Arial" w:hAnsi="Arial" w:cs="Arial"/>
        </w:rPr>
        <w:t xml:space="preserve"> El año </w:t>
      </w:r>
      <w:r w:rsidRPr="00C8553E">
        <w:rPr>
          <w:rFonts w:ascii="Arial" w:hAnsi="Arial" w:cs="Arial"/>
        </w:rPr>
        <w:t xml:space="preserve">2019 </w:t>
      </w:r>
      <w:r>
        <w:rPr>
          <w:rFonts w:ascii="Arial" w:hAnsi="Arial" w:cs="Arial"/>
        </w:rPr>
        <w:t>ha sido</w:t>
      </w:r>
      <w:r w:rsidRPr="00C8553E">
        <w:rPr>
          <w:rFonts w:ascii="Arial" w:hAnsi="Arial" w:cs="Arial"/>
        </w:rPr>
        <w:t xml:space="preserve"> ya el segundo año donde hemos superado la cifra del millón de euros proveniente de la financiación externa de los proyectos de investigación, por lo que esta actividad, además de generar un conocimiento imprescindible para un centro tecnológico como INTIA empieza también a suponer una financiación importante. En 2020 se seguirá trabajando </w:t>
      </w:r>
      <w:r w:rsidR="00036A49">
        <w:rPr>
          <w:rFonts w:ascii="Arial" w:hAnsi="Arial" w:cs="Arial"/>
        </w:rPr>
        <w:t>en</w:t>
      </w:r>
      <w:r w:rsidRPr="00C8553E">
        <w:rPr>
          <w:rFonts w:ascii="Arial" w:hAnsi="Arial" w:cs="Arial"/>
        </w:rPr>
        <w:t xml:space="preserve"> los 37 proyectos que ya se encuentran en funcionamiento además de los nuevos proyectos presentados que puedan aprobarse en 2020.  En lo referente a experimentación, se espera mantener los mismos niveles tanto la experimentación propia como la experimentación bajo contrato. </w:t>
      </w:r>
    </w:p>
    <w:p w14:paraId="3E03CF7A" w14:textId="77777777" w:rsidR="008C4108"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Pr>
          <w:rFonts w:ascii="Arial" w:hAnsi="Arial" w:cs="Arial"/>
        </w:rPr>
        <w:t>En el Área de Asesoramiento, se espera mantener el nivel existente de socios y hectáreas asociadas en lo referente al asesoramiento agrícola convencional, un decremento en socios de asesoramiento en ganadería convencional, en parte por los procesos de integración que se están impulsando en algunos subsectores y un incremento en asesoramiento agrícola y ganadero ecológico.</w:t>
      </w:r>
    </w:p>
    <w:p w14:paraId="333B5A55" w14:textId="77777777" w:rsidR="008C4108" w:rsidRPr="00760251"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760251">
        <w:rPr>
          <w:rFonts w:ascii="Arial" w:hAnsi="Arial" w:cs="Arial"/>
        </w:rPr>
        <w:t xml:space="preserve">En el Área de Regadíos,  </w:t>
      </w:r>
      <w:r w:rsidR="00036A49">
        <w:rPr>
          <w:rFonts w:ascii="Arial" w:hAnsi="Arial" w:cs="Arial"/>
        </w:rPr>
        <w:t>se están realizando las gestiones necesarias para la reanudación de las obras en la zona de Arga 4 (Peralta) y para que de cara al verano se puedan empezar las obras en el Ramal del Ega, lo que hace que haya perspectivas de incremento importante de la actividad del área, la cual se había reducido en los últimos años. Las</w:t>
      </w:r>
      <w:r w:rsidRPr="00760251">
        <w:rPr>
          <w:rFonts w:ascii="Arial" w:hAnsi="Arial" w:cs="Arial"/>
        </w:rPr>
        <w:t xml:space="preserve"> competencias del contrato concesional de las obras de la ampliación de la primera fase del canal de Navarra </w:t>
      </w:r>
      <w:r w:rsidR="00036A49">
        <w:rPr>
          <w:rFonts w:ascii="Arial" w:hAnsi="Arial" w:cs="Arial"/>
        </w:rPr>
        <w:t xml:space="preserve">han pasado </w:t>
      </w:r>
      <w:r w:rsidRPr="00760251">
        <w:rPr>
          <w:rFonts w:ascii="Arial" w:hAnsi="Arial" w:cs="Arial"/>
        </w:rPr>
        <w:t>al Departamento de Cohesión Territorial, que ha aprobado un reequilibrio ec</w:t>
      </w:r>
      <w:r w:rsidR="00036A49">
        <w:rPr>
          <w:rFonts w:ascii="Arial" w:hAnsi="Arial" w:cs="Arial"/>
        </w:rPr>
        <w:t xml:space="preserve">onómico del contrato pendiente. </w:t>
      </w:r>
    </w:p>
    <w:p w14:paraId="07052EA6" w14:textId="77777777" w:rsidR="008C4108" w:rsidRPr="00295669"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Pr>
          <w:rFonts w:ascii="Arial" w:hAnsi="Arial" w:cs="Arial"/>
        </w:rPr>
        <w:t>En el Área de Control y C</w:t>
      </w:r>
      <w:r w:rsidRPr="00295669">
        <w:rPr>
          <w:rFonts w:ascii="Arial" w:hAnsi="Arial" w:cs="Arial"/>
        </w:rPr>
        <w:t>ertificación, se espera</w:t>
      </w:r>
      <w:r>
        <w:rPr>
          <w:rFonts w:ascii="Arial" w:hAnsi="Arial" w:cs="Arial"/>
        </w:rPr>
        <w:t xml:space="preserve"> mantener una actividad similar en cuanto a la certificación de producto como entidad acreditada y continuar con los servicios a los Consejos Reguladores acreditados Ternera de Navarra e Idiazábal, así como los servicios al Consejo Regulador Denominación Navarra fuera de acreditación. </w:t>
      </w:r>
    </w:p>
    <w:p w14:paraId="4408068B" w14:textId="77777777" w:rsidR="00B72180" w:rsidRDefault="00036A49" w:rsidP="00B72180">
      <w:pPr>
        <w:pStyle w:val="Prrafodelista"/>
        <w:numPr>
          <w:ilvl w:val="0"/>
          <w:numId w:val="31"/>
        </w:numPr>
        <w:tabs>
          <w:tab w:val="clear" w:pos="720"/>
          <w:tab w:val="num" w:pos="284"/>
        </w:tabs>
        <w:spacing w:before="200" w:line="276" w:lineRule="auto"/>
        <w:ind w:left="284" w:hanging="284"/>
        <w:jc w:val="both"/>
        <w:rPr>
          <w:rFonts w:ascii="Arial" w:hAnsi="Arial" w:cs="Arial"/>
        </w:rPr>
      </w:pPr>
      <w:r w:rsidRPr="00B72180">
        <w:rPr>
          <w:rFonts w:ascii="Arial" w:hAnsi="Arial" w:cs="Arial"/>
        </w:rPr>
        <w:t>En el Á</w:t>
      </w:r>
      <w:r w:rsidR="008C4108" w:rsidRPr="00B72180">
        <w:rPr>
          <w:rFonts w:ascii="Arial" w:hAnsi="Arial" w:cs="Arial"/>
        </w:rPr>
        <w:t xml:space="preserve">rea de Innovación de la cadena de valor, durante 2020, además de las actividades de publicidad, promoción, patrocinios y eventos habituales en diferentes medios, se van a desarrollar tres líneas de trabajo específicas que van a consistir en: a) Estudio para la incorporación a la marca Reyno Gourmet de producciones agroalimentarias de Navarra, en particular productos frescos y variedades tradicionales o autóctonas que no estando en figuras de calidad  diferenciada cuenten con un sistema de certificación y un nivel de calidad comercial a determinar, b) Estudio de posicionamiento actual de la marca Reyno Gourmet y de la imagen de los alimentos de Navarra así como estrategias de futuro y c) Encargo para el estudio de la situación actual de la venta directa y de los circuitos cortos, así como de la posible </w:t>
      </w:r>
      <w:proofErr w:type="spellStart"/>
      <w:r w:rsidR="008C4108" w:rsidRPr="00B72180">
        <w:rPr>
          <w:rFonts w:ascii="Arial" w:hAnsi="Arial" w:cs="Arial"/>
        </w:rPr>
        <w:t>labelización</w:t>
      </w:r>
      <w:proofErr w:type="spellEnd"/>
      <w:r w:rsidR="008C4108" w:rsidRPr="00B72180">
        <w:rPr>
          <w:rFonts w:ascii="Arial" w:hAnsi="Arial" w:cs="Arial"/>
        </w:rPr>
        <w:t xml:space="preserve"> de este modo de comercialización</w:t>
      </w:r>
      <w:r w:rsidR="001A3D9D" w:rsidRPr="00B72180">
        <w:rPr>
          <w:rFonts w:ascii="Arial" w:hAnsi="Arial" w:cs="Arial"/>
        </w:rPr>
        <w:t>.</w:t>
      </w:r>
    </w:p>
    <w:p w14:paraId="5DA395D4" w14:textId="02EFE6AE" w:rsidR="00B72180" w:rsidRPr="00B72180" w:rsidRDefault="008C4108" w:rsidP="00B72180">
      <w:pPr>
        <w:pStyle w:val="Prrafodelista"/>
        <w:numPr>
          <w:ilvl w:val="0"/>
          <w:numId w:val="31"/>
        </w:numPr>
        <w:tabs>
          <w:tab w:val="clear" w:pos="720"/>
          <w:tab w:val="num" w:pos="284"/>
        </w:tabs>
        <w:spacing w:before="200" w:line="276" w:lineRule="auto"/>
        <w:ind w:left="284" w:hanging="284"/>
        <w:jc w:val="both"/>
        <w:rPr>
          <w:rFonts w:ascii="Arial" w:hAnsi="Arial" w:cs="Arial"/>
        </w:rPr>
      </w:pPr>
      <w:r w:rsidRPr="00B72180">
        <w:rPr>
          <w:rFonts w:ascii="Arial" w:hAnsi="Arial" w:cs="Arial"/>
        </w:rPr>
        <w:t>En cuanto al personal, el número de empleados que han causado baja en 2019 asciende a nueve personas: dos por vencimiento de contrato, uno por incapacitación, tres por baja voluntaria (dos excedencias) y tres por jubilación definitiva. El cambio de criterio en lo referente a la generación de tasa de reposición va a permitir a la Sociedad la conversión a indefinidos de hasta 12 contratos eventuales. Por otro lado se seguirá en la misma línea en cuanto a colaboración con las diferentes universidades en lo referente a contratos en prácticas, becas etc. en consonancia con la vocación de INTIA en la transferencia de conocimiento.</w:t>
      </w:r>
    </w:p>
    <w:p w14:paraId="6CDB3985" w14:textId="67B7D86E" w:rsidR="008C4108" w:rsidRPr="000A7408" w:rsidRDefault="008C4108" w:rsidP="008C4108">
      <w:pPr>
        <w:spacing w:before="200" w:line="276" w:lineRule="auto"/>
        <w:ind w:left="284" w:hanging="284"/>
        <w:rPr>
          <w:rFonts w:ascii="Arial" w:hAnsi="Arial" w:cs="Arial"/>
          <w:color w:val="005BA6"/>
        </w:rPr>
      </w:pPr>
      <w:r w:rsidRPr="00FE331B">
        <w:rPr>
          <w:rFonts w:ascii="Arial" w:hAnsi="Arial" w:cs="Arial"/>
          <w:color w:val="005BA6"/>
        </w:rPr>
        <w:t xml:space="preserve">3. </w:t>
      </w:r>
      <w:r w:rsidRPr="00FE331B">
        <w:rPr>
          <w:rFonts w:ascii="Arial" w:hAnsi="Arial" w:cs="Arial"/>
          <w:color w:val="005BA6"/>
        </w:rPr>
        <w:tab/>
        <w:t>Actividades en materias de investigación y desarrollo</w:t>
      </w:r>
    </w:p>
    <w:p w14:paraId="313A8B65" w14:textId="77777777" w:rsidR="008C4108" w:rsidRDefault="008C4108" w:rsidP="008C4108">
      <w:pPr>
        <w:pStyle w:val="Sangradetextonormal"/>
        <w:spacing w:before="200" w:line="276" w:lineRule="auto"/>
        <w:ind w:firstLine="0"/>
        <w:rPr>
          <w:rFonts w:ascii="Arial" w:hAnsi="Arial" w:cs="Arial"/>
        </w:rPr>
      </w:pPr>
      <w:r w:rsidRPr="00295669">
        <w:rPr>
          <w:rFonts w:ascii="Arial" w:hAnsi="Arial" w:cs="Arial"/>
        </w:rPr>
        <w:t>INTIA se consolida como centro de investigación y experimentación agroalimentaria. Algunos aspectos ligados a este desarrollo son los siguientes:</w:t>
      </w:r>
    </w:p>
    <w:p w14:paraId="2E0260B5"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C8553E">
        <w:rPr>
          <w:rFonts w:ascii="Arial" w:hAnsi="Arial" w:cs="Arial"/>
        </w:rPr>
        <w:t xml:space="preserve">Continuación en niveles similares en lo referente a la experimentación, tanto en experimentación propia como experimentación bajo contrato, si bien se está produciendo un importante incremento en la experimentación ecológica en cultivos por la puesta en marcha, año pasado de la finca de </w:t>
      </w:r>
      <w:proofErr w:type="spellStart"/>
      <w:r w:rsidRPr="00C8553E">
        <w:rPr>
          <w:rFonts w:ascii="Arial" w:hAnsi="Arial" w:cs="Arial"/>
        </w:rPr>
        <w:t>Sartaguda</w:t>
      </w:r>
      <w:proofErr w:type="spellEnd"/>
      <w:r w:rsidRPr="00C8553E">
        <w:rPr>
          <w:rFonts w:ascii="Arial" w:hAnsi="Arial" w:cs="Arial"/>
        </w:rPr>
        <w:t xml:space="preserve"> en producción ecológica. </w:t>
      </w:r>
    </w:p>
    <w:p w14:paraId="2C44D061"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C8553E">
        <w:rPr>
          <w:rFonts w:ascii="Arial" w:hAnsi="Arial" w:cs="Arial"/>
        </w:rPr>
        <w:t>Extensión de los proyectos de investigación a áreas en las que no se trabajaba en este ámbito como son regadíos, certificación e Innovación en la cadena de valor</w:t>
      </w:r>
    </w:p>
    <w:p w14:paraId="66FADDCC"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C8553E">
        <w:rPr>
          <w:rFonts w:ascii="Arial" w:hAnsi="Arial" w:cs="Arial"/>
        </w:rPr>
        <w:t>Mantenimiento de los convenios de colaboración con las diferentes universidades y centros tecnológicos.</w:t>
      </w:r>
    </w:p>
    <w:p w14:paraId="411BBCAB"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C8553E">
        <w:rPr>
          <w:rFonts w:ascii="Arial" w:hAnsi="Arial" w:cs="Arial"/>
        </w:rPr>
        <w:t>Participación en la Junta del Clúster Agroalimentario de Navarra cuyo lanzamiento definitivo se prevé para este ejercicio</w:t>
      </w:r>
    </w:p>
    <w:p w14:paraId="6021B2A1" w14:textId="77777777" w:rsidR="008C4108" w:rsidRPr="00C8553E"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C8553E">
        <w:rPr>
          <w:rFonts w:ascii="Arial" w:hAnsi="Arial" w:cs="Arial"/>
        </w:rPr>
        <w:t>Participación en SINAI ( Sistema Navarro de Innovación), definido en el PCTI ( Plan de Ciencia, Tecnología e Innovación) junto a otros 9 Institutos de Investigación y las dos universidades</w:t>
      </w:r>
    </w:p>
    <w:p w14:paraId="07CEA169" w14:textId="77777777" w:rsidR="001A3D9D" w:rsidRDefault="008C4108" w:rsidP="001A3D9D">
      <w:pPr>
        <w:pStyle w:val="Sangradetextonormal"/>
        <w:spacing w:before="200" w:line="276" w:lineRule="auto"/>
        <w:ind w:firstLine="0"/>
        <w:rPr>
          <w:rFonts w:ascii="Arial" w:hAnsi="Arial" w:cs="Arial"/>
        </w:rPr>
      </w:pPr>
      <w:r w:rsidRPr="00C8553E">
        <w:rPr>
          <w:rFonts w:ascii="Arial" w:hAnsi="Arial" w:cs="Arial"/>
        </w:rPr>
        <w:t>Participación en nuevos proyectos europeos que hacen que el número de estos proyectos en desarrollo se siga incrementando respecto a ejercicios anteriores.</w:t>
      </w:r>
    </w:p>
    <w:p w14:paraId="1D12E13C" w14:textId="77777777" w:rsidR="002D71D7" w:rsidRDefault="002D71D7">
      <w:pPr>
        <w:rPr>
          <w:rFonts w:ascii="Arial" w:hAnsi="Arial" w:cs="Arial"/>
          <w:color w:val="005BA6"/>
        </w:rPr>
      </w:pPr>
      <w:r>
        <w:rPr>
          <w:rFonts w:ascii="Arial" w:hAnsi="Arial" w:cs="Arial"/>
          <w:color w:val="005BA6"/>
        </w:rPr>
        <w:br w:type="page"/>
      </w:r>
    </w:p>
    <w:p w14:paraId="78577517" w14:textId="77777777" w:rsidR="008C4108" w:rsidRPr="00F15F22" w:rsidRDefault="008C4108" w:rsidP="008C4108">
      <w:pPr>
        <w:spacing w:before="200" w:line="276" w:lineRule="auto"/>
        <w:ind w:left="284" w:hanging="284"/>
        <w:jc w:val="both"/>
        <w:rPr>
          <w:rFonts w:ascii="Arial" w:hAnsi="Arial" w:cs="Arial"/>
          <w:color w:val="005BA6"/>
        </w:rPr>
      </w:pPr>
      <w:r w:rsidRPr="00F15F22">
        <w:rPr>
          <w:rFonts w:ascii="Arial" w:hAnsi="Arial" w:cs="Arial"/>
          <w:color w:val="005BA6"/>
        </w:rPr>
        <w:t>4.</w:t>
      </w:r>
      <w:r w:rsidRPr="00F15F22">
        <w:rPr>
          <w:rFonts w:ascii="Arial" w:hAnsi="Arial" w:cs="Arial"/>
          <w:color w:val="005BA6"/>
        </w:rPr>
        <w:tab/>
        <w:t>Adquisición de Acciones Propias</w:t>
      </w:r>
    </w:p>
    <w:p w14:paraId="4E33D955" w14:textId="77777777" w:rsidR="008C4108" w:rsidRPr="00721C47" w:rsidRDefault="008C4108" w:rsidP="008C4108">
      <w:pPr>
        <w:spacing w:before="200" w:line="276" w:lineRule="auto"/>
        <w:jc w:val="both"/>
        <w:rPr>
          <w:rFonts w:ascii="Arial" w:hAnsi="Arial" w:cs="Arial"/>
        </w:rPr>
      </w:pPr>
      <w:r w:rsidRPr="00721C47">
        <w:rPr>
          <w:rFonts w:ascii="Arial" w:hAnsi="Arial" w:cs="Arial"/>
        </w:rPr>
        <w:t xml:space="preserve">El titular de todas las acciones de INTIA, S.A. es la Corporación Pública Empresarial de Navarra. S.L.U. </w:t>
      </w:r>
      <w:r w:rsidR="001705B5">
        <w:rPr>
          <w:rFonts w:ascii="Arial" w:hAnsi="Arial" w:cs="Arial"/>
        </w:rPr>
        <w:t xml:space="preserve"> La Sociedad no ha realizado adquisición de acciones propias en el ejercicio 2019.</w:t>
      </w:r>
    </w:p>
    <w:p w14:paraId="362573F6" w14:textId="77777777" w:rsidR="008C4108" w:rsidRPr="000A7408" w:rsidRDefault="008C4108" w:rsidP="008C4108">
      <w:pPr>
        <w:spacing w:before="200" w:line="276" w:lineRule="auto"/>
        <w:ind w:left="284" w:hanging="284"/>
        <w:jc w:val="both"/>
        <w:rPr>
          <w:rFonts w:ascii="Arial" w:hAnsi="Arial" w:cs="Arial"/>
          <w:color w:val="005BA6"/>
        </w:rPr>
      </w:pPr>
      <w:r w:rsidRPr="000A7408">
        <w:rPr>
          <w:rFonts w:ascii="Arial" w:hAnsi="Arial" w:cs="Arial"/>
          <w:color w:val="005BA6"/>
        </w:rPr>
        <w:t>5.</w:t>
      </w:r>
      <w:r w:rsidRPr="000A7408">
        <w:rPr>
          <w:rFonts w:ascii="Arial" w:hAnsi="Arial" w:cs="Arial"/>
          <w:color w:val="005BA6"/>
        </w:rPr>
        <w:tab/>
        <w:t>Gestión del Riesgo</w:t>
      </w:r>
    </w:p>
    <w:p w14:paraId="55DE754A" w14:textId="77777777" w:rsidR="002D71D7" w:rsidRDefault="008C4108" w:rsidP="002D71D7">
      <w:pPr>
        <w:spacing w:before="200" w:line="276" w:lineRule="auto"/>
        <w:jc w:val="both"/>
        <w:rPr>
          <w:rFonts w:ascii="Arial" w:hAnsi="Arial" w:cs="Arial"/>
        </w:rPr>
      </w:pPr>
      <w:r w:rsidRPr="00721C47">
        <w:rPr>
          <w:rFonts w:ascii="Arial" w:hAnsi="Arial" w:cs="Arial"/>
        </w:rPr>
        <w:t>Activos: la empresa tiene asegurados el valor de sus activos materiales, al igual que las posibles responsabilidades civiles derivadas de la utilización de sus productos y servicios.</w:t>
      </w:r>
    </w:p>
    <w:p w14:paraId="52467851" w14:textId="77777777" w:rsidR="008C4108" w:rsidRPr="000A7408" w:rsidRDefault="008C4108" w:rsidP="008C4108">
      <w:pPr>
        <w:spacing w:before="200" w:line="276" w:lineRule="auto"/>
        <w:ind w:left="284" w:hanging="284"/>
        <w:jc w:val="both"/>
        <w:rPr>
          <w:rFonts w:ascii="Arial" w:hAnsi="Arial" w:cs="Arial"/>
          <w:color w:val="005BA6"/>
        </w:rPr>
      </w:pPr>
      <w:r w:rsidRPr="009E62EF">
        <w:rPr>
          <w:rFonts w:ascii="Arial" w:hAnsi="Arial" w:cs="Arial"/>
          <w:color w:val="005BA6"/>
        </w:rPr>
        <w:t>6.</w:t>
      </w:r>
      <w:r w:rsidRPr="009E62EF">
        <w:rPr>
          <w:rFonts w:ascii="Arial" w:hAnsi="Arial" w:cs="Arial"/>
          <w:color w:val="005BA6"/>
        </w:rPr>
        <w:tab/>
        <w:t xml:space="preserve">Perspectivas para el año </w:t>
      </w:r>
      <w:r>
        <w:rPr>
          <w:rFonts w:ascii="Arial" w:hAnsi="Arial" w:cs="Arial"/>
          <w:color w:val="005BA6"/>
        </w:rPr>
        <w:t>2020</w:t>
      </w:r>
    </w:p>
    <w:p w14:paraId="74828C7F" w14:textId="77777777" w:rsidR="008C4108" w:rsidRDefault="008C4108" w:rsidP="008C4108">
      <w:pPr>
        <w:spacing w:before="120" w:line="360" w:lineRule="auto"/>
        <w:contextualSpacing/>
        <w:mirrorIndents/>
        <w:rPr>
          <w:rFonts w:ascii="Arial" w:hAnsi="Arial" w:cs="Arial"/>
        </w:rPr>
      </w:pPr>
    </w:p>
    <w:p w14:paraId="4F54D281" w14:textId="77777777" w:rsidR="008C4108" w:rsidRPr="00036A49" w:rsidRDefault="008C4108" w:rsidP="008C4108">
      <w:pPr>
        <w:spacing w:before="120" w:line="360" w:lineRule="auto"/>
        <w:contextualSpacing/>
        <w:mirrorIndents/>
        <w:rPr>
          <w:rFonts w:ascii="Arial" w:hAnsi="Arial" w:cs="Arial"/>
        </w:rPr>
      </w:pPr>
      <w:r w:rsidRPr="00036A49">
        <w:rPr>
          <w:rFonts w:ascii="Arial" w:hAnsi="Arial" w:cs="Arial"/>
        </w:rPr>
        <w:t xml:space="preserve">En 2020 la Sociedad prevé renovar su condición de ente instrumental de la Administración de la Comunidad Foral de Navarra en las materias propias de su objeto social. </w:t>
      </w:r>
    </w:p>
    <w:p w14:paraId="041C8E23" w14:textId="77777777" w:rsidR="008C4108" w:rsidRPr="00036A49" w:rsidRDefault="008C4108" w:rsidP="008C4108">
      <w:pPr>
        <w:spacing w:before="200" w:line="276" w:lineRule="auto"/>
        <w:contextualSpacing/>
        <w:mirrorIndents/>
        <w:jc w:val="both"/>
        <w:rPr>
          <w:rFonts w:ascii="Arial" w:hAnsi="Arial" w:cs="Arial"/>
        </w:rPr>
      </w:pPr>
      <w:r w:rsidRPr="00036A49">
        <w:rPr>
          <w:rFonts w:ascii="Arial" w:hAnsi="Arial" w:cs="Arial"/>
        </w:rPr>
        <w:t>Desde el punto de vista organizativo, el paso de las competencias del contrato concesional de las obras de la ampliación de la primera fase del canal de Navarra al Departamento de Cohesión Territorial ha propiciado la creación</w:t>
      </w:r>
      <w:r w:rsidR="00036A49">
        <w:rPr>
          <w:rFonts w:ascii="Arial" w:hAnsi="Arial" w:cs="Arial"/>
        </w:rPr>
        <w:t xml:space="preserve"> de una subdirección que actúa como interlocutor tanto con este Departamento como con el Departamento de Desarrollo Rural y Medio Ambiente y ha asumido además todas las competencias y responsabilidades relacionas con el Área de Regadío de la Sociedad. </w:t>
      </w:r>
    </w:p>
    <w:p w14:paraId="56857E13" w14:textId="77777777" w:rsidR="008C4108" w:rsidRPr="00036A49" w:rsidRDefault="008C4108" w:rsidP="008C4108">
      <w:pPr>
        <w:spacing w:before="200" w:line="276" w:lineRule="auto"/>
        <w:contextualSpacing/>
        <w:mirrorIndents/>
        <w:jc w:val="both"/>
        <w:rPr>
          <w:rFonts w:ascii="Arial" w:hAnsi="Arial" w:cs="Arial"/>
        </w:rPr>
      </w:pPr>
    </w:p>
    <w:p w14:paraId="5A4282EE" w14:textId="77777777" w:rsidR="008C4108" w:rsidRPr="00036A49" w:rsidRDefault="008C4108" w:rsidP="008C4108">
      <w:pPr>
        <w:spacing w:before="200" w:line="276" w:lineRule="auto"/>
        <w:contextualSpacing/>
        <w:mirrorIndents/>
        <w:jc w:val="both"/>
        <w:rPr>
          <w:rFonts w:ascii="Arial" w:hAnsi="Arial" w:cs="Arial"/>
        </w:rPr>
      </w:pPr>
      <w:r w:rsidRPr="00036A49">
        <w:rPr>
          <w:rFonts w:ascii="Arial" w:hAnsi="Arial" w:cs="Arial"/>
        </w:rPr>
        <w:t>Respecto a los servicios:</w:t>
      </w:r>
    </w:p>
    <w:p w14:paraId="44A5D11B" w14:textId="77777777" w:rsidR="004F7C21" w:rsidRDefault="004F7C21" w:rsidP="008C4108">
      <w:pPr>
        <w:pStyle w:val="Prrafodelista"/>
        <w:numPr>
          <w:ilvl w:val="0"/>
          <w:numId w:val="46"/>
        </w:numPr>
        <w:spacing w:before="200" w:line="276" w:lineRule="auto"/>
        <w:mirrorIndents/>
        <w:jc w:val="both"/>
        <w:rPr>
          <w:rFonts w:ascii="Arial" w:hAnsi="Arial" w:cs="Arial"/>
        </w:rPr>
      </w:pPr>
      <w:r>
        <w:rPr>
          <w:rFonts w:ascii="Arial" w:hAnsi="Arial" w:cs="Arial"/>
        </w:rPr>
        <w:t>Continuidad en los servicios de asesoramiento a explotaciones agrícolas y ganaderas.</w:t>
      </w:r>
    </w:p>
    <w:p w14:paraId="2853E12F" w14:textId="77777777" w:rsidR="008C4108" w:rsidRPr="00036A49" w:rsidRDefault="00036A49" w:rsidP="008C4108">
      <w:pPr>
        <w:pStyle w:val="Prrafodelista"/>
        <w:numPr>
          <w:ilvl w:val="0"/>
          <w:numId w:val="46"/>
        </w:numPr>
        <w:spacing w:before="200" w:line="276" w:lineRule="auto"/>
        <w:mirrorIndents/>
        <w:jc w:val="both"/>
        <w:rPr>
          <w:rFonts w:ascii="Arial" w:hAnsi="Arial" w:cs="Arial"/>
        </w:rPr>
      </w:pPr>
      <w:r>
        <w:rPr>
          <w:rFonts w:ascii="Arial" w:hAnsi="Arial" w:cs="Arial"/>
        </w:rPr>
        <w:t>Consolidación del servicio de agricultura y ganadería ecológica.</w:t>
      </w:r>
    </w:p>
    <w:p w14:paraId="34F2A2E3" w14:textId="77777777" w:rsidR="008C4108" w:rsidRPr="00036A49" w:rsidRDefault="008C4108" w:rsidP="008C4108">
      <w:pPr>
        <w:pStyle w:val="Prrafodelista"/>
        <w:numPr>
          <w:ilvl w:val="0"/>
          <w:numId w:val="46"/>
        </w:numPr>
        <w:spacing w:before="200" w:line="276" w:lineRule="auto"/>
        <w:mirrorIndents/>
        <w:jc w:val="both"/>
        <w:rPr>
          <w:rFonts w:ascii="Arial" w:hAnsi="Arial" w:cs="Arial"/>
        </w:rPr>
      </w:pPr>
      <w:r w:rsidRPr="00036A49">
        <w:rPr>
          <w:rFonts w:ascii="Arial" w:hAnsi="Arial" w:cs="Arial"/>
        </w:rPr>
        <w:t xml:space="preserve">Inauguración del  nuevo centro de acopio y gestión del espacio </w:t>
      </w:r>
      <w:proofErr w:type="spellStart"/>
      <w:r w:rsidRPr="00036A49">
        <w:rPr>
          <w:rFonts w:ascii="Arial" w:hAnsi="Arial" w:cs="Arial"/>
        </w:rPr>
        <w:t>Ekoalde</w:t>
      </w:r>
      <w:proofErr w:type="spellEnd"/>
      <w:r w:rsidRPr="00036A49">
        <w:rPr>
          <w:rFonts w:ascii="Arial" w:hAnsi="Arial" w:cs="Arial"/>
        </w:rPr>
        <w:t xml:space="preserve"> en Noain</w:t>
      </w:r>
    </w:p>
    <w:p w14:paraId="5B5FBDFF" w14:textId="77777777" w:rsidR="008C4108" w:rsidRDefault="008C4108" w:rsidP="008C4108">
      <w:pPr>
        <w:pStyle w:val="Prrafodelista"/>
        <w:numPr>
          <w:ilvl w:val="0"/>
          <w:numId w:val="46"/>
        </w:numPr>
        <w:spacing w:before="200" w:line="276" w:lineRule="auto"/>
        <w:mirrorIndents/>
        <w:jc w:val="both"/>
        <w:rPr>
          <w:rFonts w:ascii="Arial" w:hAnsi="Arial" w:cs="Arial"/>
        </w:rPr>
      </w:pPr>
      <w:r w:rsidRPr="00036A49">
        <w:rPr>
          <w:rFonts w:ascii="Arial" w:hAnsi="Arial" w:cs="Arial"/>
        </w:rPr>
        <w:t xml:space="preserve">Cambio de enfoque en la finca de Roncesvalles introduciendo vacas de leche para apoyar la producción de leche ecológica en zona de montaña como alternativa a la leche </w:t>
      </w:r>
      <w:proofErr w:type="spellStart"/>
      <w:r w:rsidRPr="00036A49">
        <w:rPr>
          <w:rFonts w:ascii="Arial" w:hAnsi="Arial" w:cs="Arial"/>
        </w:rPr>
        <w:t>commodity</w:t>
      </w:r>
      <w:proofErr w:type="spellEnd"/>
      <w:r w:rsidRPr="00036A49">
        <w:rPr>
          <w:rFonts w:ascii="Arial" w:hAnsi="Arial" w:cs="Arial"/>
        </w:rPr>
        <w:t>.</w:t>
      </w:r>
    </w:p>
    <w:p w14:paraId="0308D02F" w14:textId="77777777" w:rsidR="004F7C21" w:rsidRPr="00036A49" w:rsidRDefault="004F7C21" w:rsidP="008C4108">
      <w:pPr>
        <w:pStyle w:val="Prrafodelista"/>
        <w:numPr>
          <w:ilvl w:val="0"/>
          <w:numId w:val="46"/>
        </w:numPr>
        <w:spacing w:before="200" w:line="276" w:lineRule="auto"/>
        <w:mirrorIndents/>
        <w:jc w:val="both"/>
        <w:rPr>
          <w:rFonts w:ascii="Arial" w:hAnsi="Arial" w:cs="Arial"/>
        </w:rPr>
      </w:pPr>
      <w:r>
        <w:rPr>
          <w:rFonts w:ascii="Arial" w:hAnsi="Arial" w:cs="Arial"/>
        </w:rPr>
        <w:t>Continuidad en los servicios de experimentación tanto propio como bajo contrato de terceros.</w:t>
      </w:r>
    </w:p>
    <w:p w14:paraId="042747CF" w14:textId="77777777" w:rsidR="008C4108" w:rsidRDefault="00036A49" w:rsidP="008C4108">
      <w:pPr>
        <w:pStyle w:val="Prrafodelista"/>
        <w:numPr>
          <w:ilvl w:val="0"/>
          <w:numId w:val="46"/>
        </w:numPr>
        <w:spacing w:before="200" w:line="276" w:lineRule="auto"/>
        <w:mirrorIndents/>
        <w:jc w:val="both"/>
        <w:rPr>
          <w:rFonts w:ascii="Arial" w:hAnsi="Arial" w:cs="Arial"/>
        </w:rPr>
      </w:pPr>
      <w:r>
        <w:rPr>
          <w:rFonts w:ascii="Arial" w:hAnsi="Arial" w:cs="Arial"/>
        </w:rPr>
        <w:t>Continuidad de la actividad en proyectos de I+D con especial enfoque en los programas Europeos y regionales, en el marco de las líneas estratégicas definidas en el Plan Estratégico de la Sociedad y en colaboración con agentes del sector</w:t>
      </w:r>
      <w:r w:rsidR="008C4108">
        <w:rPr>
          <w:rFonts w:ascii="Arial" w:hAnsi="Arial" w:cs="Arial"/>
        </w:rPr>
        <w:t>.</w:t>
      </w:r>
    </w:p>
    <w:p w14:paraId="71FA9489" w14:textId="77777777" w:rsidR="008C4108" w:rsidRDefault="004F7C21" w:rsidP="008C4108">
      <w:pPr>
        <w:pStyle w:val="Prrafodelista"/>
        <w:numPr>
          <w:ilvl w:val="0"/>
          <w:numId w:val="46"/>
        </w:numPr>
        <w:spacing w:before="200" w:line="276" w:lineRule="auto"/>
        <w:mirrorIndents/>
        <w:jc w:val="both"/>
        <w:rPr>
          <w:rFonts w:ascii="Arial" w:hAnsi="Arial" w:cs="Arial"/>
        </w:rPr>
      </w:pPr>
      <w:r>
        <w:rPr>
          <w:rFonts w:ascii="Arial" w:hAnsi="Arial" w:cs="Arial"/>
        </w:rPr>
        <w:t>Mantenimiento de los servicios encomendados por el Departamento de Desarrollo Rural y Medio Ambiente en</w:t>
      </w:r>
      <w:r w:rsidR="008C4108">
        <w:rPr>
          <w:rFonts w:ascii="Arial" w:hAnsi="Arial" w:cs="Arial"/>
        </w:rPr>
        <w:t xml:space="preserve"> el á</w:t>
      </w:r>
      <w:r>
        <w:rPr>
          <w:rFonts w:ascii="Arial" w:hAnsi="Arial" w:cs="Arial"/>
        </w:rPr>
        <w:t>rea de Control y Certificación, con cierta disminución en lo referente a la Producción Integrada.</w:t>
      </w:r>
    </w:p>
    <w:p w14:paraId="35212F6A" w14:textId="77777777" w:rsidR="008C4108" w:rsidRPr="008B1367" w:rsidRDefault="008C4108" w:rsidP="008C4108">
      <w:pPr>
        <w:pStyle w:val="Prrafodelista"/>
        <w:numPr>
          <w:ilvl w:val="0"/>
          <w:numId w:val="46"/>
        </w:numPr>
        <w:spacing w:before="200" w:line="276" w:lineRule="auto"/>
        <w:mirrorIndents/>
        <w:jc w:val="both"/>
        <w:rPr>
          <w:rFonts w:ascii="Arial" w:hAnsi="Arial" w:cs="Arial"/>
        </w:rPr>
      </w:pPr>
      <w:r>
        <w:rPr>
          <w:rFonts w:ascii="Arial" w:hAnsi="Arial" w:cs="Arial"/>
        </w:rPr>
        <w:t xml:space="preserve">Se espera solicitar el registro de la IGP </w:t>
      </w:r>
      <w:proofErr w:type="spellStart"/>
      <w:r>
        <w:rPr>
          <w:rFonts w:ascii="Arial" w:hAnsi="Arial" w:cs="Arial"/>
        </w:rPr>
        <w:t>Txistorra</w:t>
      </w:r>
      <w:proofErr w:type="spellEnd"/>
      <w:r>
        <w:rPr>
          <w:rFonts w:ascii="Arial" w:hAnsi="Arial" w:cs="Arial"/>
        </w:rPr>
        <w:t xml:space="preserve"> de Navarra.</w:t>
      </w:r>
    </w:p>
    <w:p w14:paraId="5524D68A" w14:textId="77777777" w:rsidR="008C4108" w:rsidRDefault="008C4108" w:rsidP="008C4108">
      <w:pPr>
        <w:spacing w:before="200" w:line="276" w:lineRule="auto"/>
        <w:contextualSpacing/>
        <w:mirrorIndents/>
        <w:jc w:val="both"/>
        <w:rPr>
          <w:rFonts w:ascii="Arial" w:hAnsi="Arial" w:cs="Arial"/>
        </w:rPr>
      </w:pPr>
      <w:r>
        <w:rPr>
          <w:rFonts w:ascii="Arial" w:hAnsi="Arial" w:cs="Arial"/>
        </w:rPr>
        <w:t>Desde el punto de vista económico financiero, los aspectos fundamentales van a ser los siguientes:</w:t>
      </w:r>
    </w:p>
    <w:p w14:paraId="01474E98" w14:textId="77777777" w:rsidR="008C4108" w:rsidRPr="00FB6603"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Pr>
          <w:rFonts w:ascii="Arial" w:hAnsi="Arial" w:cs="Arial"/>
        </w:rPr>
        <w:t>En el área de regadíos, con el incremento de actividad, se prevé un incremento de los ingresos por actividades ligadas a las obras de Ampliación de la 1ª fase de la Zona Regable del Canal de Navarra y por otra, se prevé la revisión del Convenio de Colaboración entre el Gobierno de Navarra e INTIA, para la gestión del contrato concesional  dotándolo de nuevos fondos que permitan hacer frente al incremento de costes que supone el alargamiento del periodo de construcción del contrato concesional, que ha pasado de 4 a 8 años por los retrasos acumulados en los trámites administrativos y en los procesos de concentración parcelaria.</w:t>
      </w:r>
    </w:p>
    <w:p w14:paraId="279EC442" w14:textId="77777777" w:rsidR="008C4108" w:rsidRPr="00F61051" w:rsidRDefault="008C4108" w:rsidP="008C4108">
      <w:pPr>
        <w:pStyle w:val="Sangradetextonormal"/>
        <w:numPr>
          <w:ilvl w:val="0"/>
          <w:numId w:val="31"/>
        </w:numPr>
        <w:tabs>
          <w:tab w:val="clear" w:pos="720"/>
        </w:tabs>
        <w:spacing w:before="200" w:line="276" w:lineRule="auto"/>
        <w:ind w:left="284" w:hanging="284"/>
        <w:rPr>
          <w:rFonts w:ascii="Arial" w:hAnsi="Arial" w:cs="Arial"/>
        </w:rPr>
      </w:pPr>
      <w:r w:rsidRPr="00481F60">
        <w:rPr>
          <w:rFonts w:ascii="Arial" w:hAnsi="Arial" w:cs="Arial"/>
        </w:rPr>
        <w:t xml:space="preserve">Respecto a las transferencias provenientes de Gobierno de </w:t>
      </w:r>
      <w:r>
        <w:rPr>
          <w:rFonts w:ascii="Arial" w:hAnsi="Arial" w:cs="Arial"/>
        </w:rPr>
        <w:t xml:space="preserve">Navarra, </w:t>
      </w:r>
      <w:r w:rsidRPr="00481F60">
        <w:rPr>
          <w:rFonts w:ascii="Arial" w:hAnsi="Arial" w:cs="Arial"/>
        </w:rPr>
        <w:t xml:space="preserve"> </w:t>
      </w:r>
      <w:r>
        <w:rPr>
          <w:rFonts w:ascii="Arial" w:hAnsi="Arial" w:cs="Arial"/>
        </w:rPr>
        <w:t>la Sociedad estima un mayor importe de ingresos tanto de  encargos como de transferencias corrientes  procedentes del Departamento de Desarrollo Rural y Medio Ambiente. En 2020 la Sociedad va a finalizar la ejecución de varios encargos que se presupuestaron originalmente para el ejercicio 2019. La Sociedad también espera ejecutar la totalidad del convenio de innovación de la cadena de valor. A diferencia de otros años, prácticamente la totalidad de los encargos están formalizados al inicio del ejercicio.</w:t>
      </w:r>
    </w:p>
    <w:p w14:paraId="10DBE3CF" w14:textId="77777777" w:rsidR="001A3D9D" w:rsidRDefault="008C4108" w:rsidP="001A3D9D">
      <w:pPr>
        <w:pStyle w:val="Sangradetextonormal"/>
        <w:spacing w:before="200" w:line="276" w:lineRule="auto"/>
        <w:ind w:firstLine="0"/>
        <w:rPr>
          <w:rFonts w:ascii="Arial" w:hAnsi="Arial" w:cs="Arial"/>
        </w:rPr>
      </w:pPr>
      <w:r>
        <w:rPr>
          <w:rFonts w:ascii="Arial" w:hAnsi="Arial" w:cs="Arial"/>
        </w:rPr>
        <w:t>Por otro lado, la partida destinada a inversiones en fincas experimentales se reduce respecto al importe registrado en el ejercicio 2019.</w:t>
      </w:r>
    </w:p>
    <w:p w14:paraId="5EBF3448" w14:textId="77777777" w:rsidR="008C4108" w:rsidRPr="000A7408" w:rsidRDefault="008C4108" w:rsidP="008C4108">
      <w:pPr>
        <w:spacing w:before="200" w:line="276" w:lineRule="auto"/>
        <w:jc w:val="both"/>
        <w:rPr>
          <w:rFonts w:ascii="Arial" w:hAnsi="Arial" w:cs="Arial"/>
          <w:color w:val="005BA6"/>
        </w:rPr>
      </w:pPr>
      <w:r w:rsidRPr="000A7408">
        <w:rPr>
          <w:rFonts w:ascii="Arial" w:hAnsi="Arial" w:cs="Arial"/>
          <w:color w:val="005BA6"/>
        </w:rPr>
        <w:t>7. Periodo medio de Pago</w:t>
      </w:r>
    </w:p>
    <w:p w14:paraId="68459990" w14:textId="77777777" w:rsidR="001A3D9D" w:rsidRDefault="008C4108">
      <w:pPr>
        <w:spacing w:before="200" w:line="276" w:lineRule="auto"/>
        <w:jc w:val="both"/>
      </w:pPr>
      <w:r w:rsidRPr="00721C47">
        <w:rPr>
          <w:rFonts w:ascii="Arial" w:hAnsi="Arial" w:cs="Arial"/>
        </w:rPr>
        <w:t>El periodo medio de pago a proveedores de la sociedad en 201</w:t>
      </w:r>
      <w:r>
        <w:rPr>
          <w:rFonts w:ascii="Arial" w:hAnsi="Arial" w:cs="Arial"/>
        </w:rPr>
        <w:t>9</w:t>
      </w:r>
      <w:r w:rsidRPr="00721C47">
        <w:rPr>
          <w:rFonts w:ascii="Arial" w:hAnsi="Arial" w:cs="Arial"/>
        </w:rPr>
        <w:t xml:space="preserve"> es de </w:t>
      </w:r>
      <w:r>
        <w:rPr>
          <w:rFonts w:ascii="Arial" w:hAnsi="Arial" w:cs="Arial"/>
        </w:rPr>
        <w:t>37</w:t>
      </w:r>
      <w:r w:rsidRPr="00721C47">
        <w:rPr>
          <w:rFonts w:ascii="Arial" w:hAnsi="Arial" w:cs="Arial"/>
        </w:rPr>
        <w:t xml:space="preserve"> días.</w:t>
      </w:r>
      <w:r>
        <w:rPr>
          <w:rFonts w:ascii="Arial" w:hAnsi="Arial" w:cs="Arial"/>
        </w:rPr>
        <w:t xml:space="preserve"> </w:t>
      </w:r>
    </w:p>
    <w:sectPr w:rsidR="001A3D9D" w:rsidSect="00F64814">
      <w:headerReference w:type="default" r:id="rId67"/>
      <w:footerReference w:type="default" r:id="rId68"/>
      <w:pgSz w:w="11907" w:h="16840" w:code="9"/>
      <w:pgMar w:top="2097" w:right="1418" w:bottom="1418" w:left="1985" w:header="567" w:footer="851" w:gutter="0"/>
      <w:paperSrc w:first="1" w:other="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A08970" w15:done="0"/>
  <w15:commentEx w15:paraId="4D127FAB" w15:done="0"/>
  <w15:commentEx w15:paraId="59B8AE58" w15:done="0"/>
  <w15:commentEx w15:paraId="1D053D0A" w15:done="0"/>
  <w15:commentEx w15:paraId="6D035EA7" w15:done="0"/>
  <w15:commentEx w15:paraId="35532B73" w15:done="0"/>
  <w15:commentEx w15:paraId="15B9AD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08970" w16cid:durableId="2236E4FF"/>
  <w16cid:commentId w16cid:paraId="4D127FAB" w16cid:durableId="2236E500"/>
  <w16cid:commentId w16cid:paraId="59B8AE58" w16cid:durableId="2236E501"/>
  <w16cid:commentId w16cid:paraId="1D053D0A" w16cid:durableId="2236E502"/>
  <w16cid:commentId w16cid:paraId="6D035EA7" w16cid:durableId="2236E503"/>
  <w16cid:commentId w16cid:paraId="35532B73" w16cid:durableId="2236E504"/>
  <w16cid:commentId w16cid:paraId="15B9ADC0" w16cid:durableId="2236E5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583BA" w14:textId="77777777" w:rsidR="0023419D" w:rsidRDefault="0023419D">
      <w:r>
        <w:separator/>
      </w:r>
    </w:p>
  </w:endnote>
  <w:endnote w:type="continuationSeparator" w:id="0">
    <w:p w14:paraId="56AF4BE9" w14:textId="77777777" w:rsidR="0023419D" w:rsidRDefault="0023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rostileTMed">
    <w:altName w:val="Agency FB"/>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rostileT">
    <w:altName w:val="Agency FB"/>
    <w:panose1 w:val="020B050402020205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2" w:type="dxa"/>
      <w:tblBorders>
        <w:top w:val="single" w:sz="12" w:space="0" w:color="4F81BD"/>
      </w:tblBorders>
      <w:tblLayout w:type="fixed"/>
      <w:tblLook w:val="00A0" w:firstRow="1" w:lastRow="0" w:firstColumn="1" w:lastColumn="0" w:noHBand="0" w:noVBand="0"/>
    </w:tblPr>
    <w:tblGrid>
      <w:gridCol w:w="7479"/>
      <w:gridCol w:w="236"/>
      <w:gridCol w:w="1587"/>
    </w:tblGrid>
    <w:tr w:rsidR="0023419D" w14:paraId="14C72C4D" w14:textId="77777777" w:rsidTr="00AB7C5B">
      <w:trPr>
        <w:trHeight w:val="673"/>
      </w:trPr>
      <w:tc>
        <w:tcPr>
          <w:tcW w:w="7479" w:type="dxa"/>
          <w:tcBorders>
            <w:top w:val="single" w:sz="12" w:space="0" w:color="4F81BD"/>
          </w:tcBorders>
        </w:tcPr>
        <w:p w14:paraId="17DFE047" w14:textId="77777777" w:rsidR="0023419D" w:rsidRPr="00B94880" w:rsidRDefault="0023419D" w:rsidP="002C4E1D">
          <w:pPr>
            <w:pStyle w:val="Piedepgina"/>
            <w:spacing w:before="40"/>
            <w:ind w:right="159"/>
            <w:jc w:val="right"/>
            <w:rPr>
              <w:rFonts w:ascii="EurostileT" w:hAnsi="EurostileT"/>
              <w:snapToGrid/>
              <w:color w:val="595959"/>
            </w:rPr>
          </w:pPr>
        </w:p>
      </w:tc>
      <w:tc>
        <w:tcPr>
          <w:tcW w:w="236" w:type="dxa"/>
          <w:tcBorders>
            <w:top w:val="single" w:sz="12" w:space="0" w:color="4F81BD"/>
          </w:tcBorders>
          <w:shd w:val="clear" w:color="auto" w:fill="4F81BD"/>
        </w:tcPr>
        <w:p w14:paraId="02ABCAFB" w14:textId="77777777" w:rsidR="0023419D" w:rsidRPr="00B94880" w:rsidRDefault="0023419D" w:rsidP="002C4E1D">
          <w:pPr>
            <w:pStyle w:val="Piedepgina"/>
            <w:jc w:val="right"/>
            <w:rPr>
              <w:snapToGrid/>
            </w:rPr>
          </w:pPr>
        </w:p>
      </w:tc>
      <w:tc>
        <w:tcPr>
          <w:tcW w:w="1587" w:type="dxa"/>
          <w:tcBorders>
            <w:top w:val="single" w:sz="12" w:space="0" w:color="4F81BD"/>
          </w:tcBorders>
        </w:tcPr>
        <w:p w14:paraId="1396A1BB" w14:textId="77777777" w:rsidR="0023419D" w:rsidRPr="00B94880" w:rsidRDefault="0023419D" w:rsidP="002C4E1D">
          <w:pPr>
            <w:pStyle w:val="Piedepgina"/>
            <w:jc w:val="right"/>
            <w:rPr>
              <w:rFonts w:ascii="EurostileT" w:hAnsi="EurostileT"/>
              <w:snapToGrid/>
            </w:rPr>
          </w:pPr>
          <w:r w:rsidRPr="00B94880">
            <w:rPr>
              <w:rFonts w:ascii="EurostileT" w:hAnsi="EurostileT"/>
              <w:snapToGrid/>
            </w:rPr>
            <w:t xml:space="preserve">Página </w:t>
          </w:r>
          <w:r w:rsidRPr="00B94880">
            <w:rPr>
              <w:rFonts w:ascii="EurostileT" w:hAnsi="EurostileT"/>
              <w:b/>
              <w:snapToGrid/>
            </w:rPr>
            <w:fldChar w:fldCharType="begin"/>
          </w:r>
          <w:r w:rsidRPr="00B94880">
            <w:rPr>
              <w:rFonts w:ascii="EurostileT" w:hAnsi="EurostileT"/>
              <w:b/>
              <w:snapToGrid/>
            </w:rPr>
            <w:instrText>PAGE</w:instrText>
          </w:r>
          <w:r w:rsidRPr="00B94880">
            <w:rPr>
              <w:rFonts w:ascii="EurostileT" w:hAnsi="EurostileT"/>
              <w:b/>
              <w:snapToGrid/>
            </w:rPr>
            <w:fldChar w:fldCharType="separate"/>
          </w:r>
          <w:r w:rsidR="00DD78C3">
            <w:rPr>
              <w:rFonts w:ascii="EurostileT" w:hAnsi="EurostileT"/>
              <w:b/>
              <w:noProof/>
              <w:snapToGrid/>
            </w:rPr>
            <w:t>5</w:t>
          </w:r>
          <w:r w:rsidRPr="00B94880">
            <w:rPr>
              <w:rFonts w:ascii="EurostileT" w:hAnsi="EurostileT"/>
              <w:b/>
              <w:snapToGrid/>
            </w:rPr>
            <w:fldChar w:fldCharType="end"/>
          </w:r>
          <w:r w:rsidRPr="00B94880">
            <w:rPr>
              <w:rFonts w:ascii="EurostileT" w:hAnsi="EurostileT"/>
              <w:snapToGrid/>
            </w:rPr>
            <w:t xml:space="preserve"> </w:t>
          </w:r>
          <w:r w:rsidRPr="00B94880">
            <w:rPr>
              <w:rFonts w:ascii="EurostileT" w:hAnsi="EurostileT"/>
              <w:snapToGrid/>
              <w:color w:val="404040"/>
              <w:sz w:val="28"/>
              <w:szCs w:val="28"/>
            </w:rPr>
            <w:t>|</w:t>
          </w:r>
          <w:r w:rsidRPr="00B94880">
            <w:rPr>
              <w:rFonts w:ascii="EurostileT" w:hAnsi="EurostileT"/>
              <w:snapToGrid/>
              <w:color w:val="404040"/>
              <w:sz w:val="18"/>
              <w:szCs w:val="18"/>
            </w:rPr>
            <w:t xml:space="preserve"> </w:t>
          </w:r>
          <w:r w:rsidRPr="00B94880">
            <w:rPr>
              <w:rFonts w:ascii="EurostileT" w:hAnsi="EurostileT"/>
              <w:b/>
              <w:snapToGrid/>
              <w:color w:val="404040"/>
              <w:sz w:val="18"/>
              <w:szCs w:val="18"/>
            </w:rPr>
            <w:fldChar w:fldCharType="begin"/>
          </w:r>
          <w:r w:rsidRPr="00B94880">
            <w:rPr>
              <w:rFonts w:ascii="EurostileT" w:hAnsi="EurostileT"/>
              <w:b/>
              <w:snapToGrid/>
              <w:color w:val="404040"/>
              <w:sz w:val="18"/>
              <w:szCs w:val="18"/>
            </w:rPr>
            <w:instrText>NUMPAGES</w:instrText>
          </w:r>
          <w:r w:rsidRPr="00B94880">
            <w:rPr>
              <w:rFonts w:ascii="EurostileT" w:hAnsi="EurostileT"/>
              <w:b/>
              <w:snapToGrid/>
              <w:color w:val="404040"/>
              <w:sz w:val="18"/>
              <w:szCs w:val="18"/>
            </w:rPr>
            <w:fldChar w:fldCharType="separate"/>
          </w:r>
          <w:r w:rsidR="00DD78C3">
            <w:rPr>
              <w:rFonts w:ascii="EurostileT" w:hAnsi="EurostileT"/>
              <w:b/>
              <w:noProof/>
              <w:snapToGrid/>
              <w:color w:val="404040"/>
              <w:sz w:val="18"/>
              <w:szCs w:val="18"/>
            </w:rPr>
            <w:t>56</w:t>
          </w:r>
          <w:r w:rsidRPr="00B94880">
            <w:rPr>
              <w:rFonts w:ascii="EurostileT" w:hAnsi="EurostileT"/>
              <w:b/>
              <w:snapToGrid/>
              <w:color w:val="404040"/>
              <w:sz w:val="18"/>
              <w:szCs w:val="18"/>
            </w:rPr>
            <w:fldChar w:fldCharType="end"/>
          </w:r>
        </w:p>
      </w:tc>
    </w:tr>
  </w:tbl>
  <w:p w14:paraId="37FB3447" w14:textId="77777777" w:rsidR="0023419D" w:rsidRDefault="0023419D">
    <w:pPr>
      <w:pStyle w:val="Piedepgina"/>
      <w:jc w:val="center"/>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433" w:type="dxa"/>
      <w:tblBorders>
        <w:top w:val="single" w:sz="12" w:space="0" w:color="4F81BD"/>
      </w:tblBorders>
      <w:tblLayout w:type="fixed"/>
      <w:tblLook w:val="00A0" w:firstRow="1" w:lastRow="0" w:firstColumn="1" w:lastColumn="0" w:noHBand="0" w:noVBand="0"/>
    </w:tblPr>
    <w:tblGrid>
      <w:gridCol w:w="7479"/>
      <w:gridCol w:w="236"/>
      <w:gridCol w:w="5718"/>
    </w:tblGrid>
    <w:tr w:rsidR="0023419D" w14:paraId="44B72EF3" w14:textId="77777777" w:rsidTr="000F7736">
      <w:trPr>
        <w:trHeight w:val="673"/>
      </w:trPr>
      <w:tc>
        <w:tcPr>
          <w:tcW w:w="7479" w:type="dxa"/>
          <w:tcBorders>
            <w:top w:val="single" w:sz="12" w:space="0" w:color="4F81BD"/>
          </w:tcBorders>
        </w:tcPr>
        <w:p w14:paraId="7073FDB2" w14:textId="77777777" w:rsidR="0023419D" w:rsidRPr="00B94880" w:rsidRDefault="0023419D" w:rsidP="002C4E1D">
          <w:pPr>
            <w:pStyle w:val="Piedepgina"/>
            <w:spacing w:before="40"/>
            <w:ind w:right="159"/>
            <w:jc w:val="right"/>
            <w:rPr>
              <w:rFonts w:ascii="EurostileT" w:hAnsi="EurostileT"/>
              <w:snapToGrid/>
              <w:color w:val="595959"/>
            </w:rPr>
          </w:pPr>
        </w:p>
      </w:tc>
      <w:tc>
        <w:tcPr>
          <w:tcW w:w="236" w:type="dxa"/>
          <w:tcBorders>
            <w:top w:val="single" w:sz="12" w:space="0" w:color="4F81BD"/>
          </w:tcBorders>
          <w:shd w:val="clear" w:color="auto" w:fill="4F81BD"/>
        </w:tcPr>
        <w:p w14:paraId="2CD88D07" w14:textId="77777777" w:rsidR="0023419D" w:rsidRPr="00B94880" w:rsidRDefault="0023419D" w:rsidP="002C4E1D">
          <w:pPr>
            <w:pStyle w:val="Piedepgina"/>
            <w:jc w:val="right"/>
            <w:rPr>
              <w:snapToGrid/>
            </w:rPr>
          </w:pPr>
        </w:p>
      </w:tc>
      <w:tc>
        <w:tcPr>
          <w:tcW w:w="5718" w:type="dxa"/>
          <w:tcBorders>
            <w:top w:val="single" w:sz="12" w:space="0" w:color="4F81BD"/>
          </w:tcBorders>
        </w:tcPr>
        <w:p w14:paraId="0AA706A9" w14:textId="77777777" w:rsidR="0023419D" w:rsidRPr="00B94880" w:rsidRDefault="0023419D" w:rsidP="002C4E1D">
          <w:pPr>
            <w:pStyle w:val="Piedepgina"/>
            <w:jc w:val="right"/>
            <w:rPr>
              <w:rFonts w:ascii="EurostileT" w:hAnsi="EurostileT"/>
              <w:snapToGrid/>
            </w:rPr>
          </w:pPr>
          <w:r w:rsidRPr="00B94880">
            <w:rPr>
              <w:rFonts w:ascii="EurostileT" w:hAnsi="EurostileT"/>
              <w:snapToGrid/>
            </w:rPr>
            <w:t xml:space="preserve">Página </w:t>
          </w:r>
          <w:r w:rsidRPr="00B94880">
            <w:rPr>
              <w:rFonts w:ascii="EurostileT" w:hAnsi="EurostileT"/>
              <w:b/>
              <w:snapToGrid/>
            </w:rPr>
            <w:fldChar w:fldCharType="begin"/>
          </w:r>
          <w:r w:rsidRPr="00B94880">
            <w:rPr>
              <w:rFonts w:ascii="EurostileT" w:hAnsi="EurostileT"/>
              <w:b/>
              <w:snapToGrid/>
            </w:rPr>
            <w:instrText>PAGE</w:instrText>
          </w:r>
          <w:r w:rsidRPr="00B94880">
            <w:rPr>
              <w:rFonts w:ascii="EurostileT" w:hAnsi="EurostileT"/>
              <w:b/>
              <w:snapToGrid/>
            </w:rPr>
            <w:fldChar w:fldCharType="separate"/>
          </w:r>
          <w:r w:rsidR="00DD78C3">
            <w:rPr>
              <w:rFonts w:ascii="EurostileT" w:hAnsi="EurostileT"/>
              <w:b/>
              <w:noProof/>
              <w:snapToGrid/>
            </w:rPr>
            <w:t>6</w:t>
          </w:r>
          <w:r w:rsidRPr="00B94880">
            <w:rPr>
              <w:rFonts w:ascii="EurostileT" w:hAnsi="EurostileT"/>
              <w:b/>
              <w:snapToGrid/>
            </w:rPr>
            <w:fldChar w:fldCharType="end"/>
          </w:r>
          <w:r w:rsidRPr="00B94880">
            <w:rPr>
              <w:rFonts w:ascii="EurostileT" w:hAnsi="EurostileT"/>
              <w:snapToGrid/>
            </w:rPr>
            <w:t xml:space="preserve"> </w:t>
          </w:r>
          <w:r w:rsidRPr="00B94880">
            <w:rPr>
              <w:rFonts w:ascii="EurostileT" w:hAnsi="EurostileT"/>
              <w:snapToGrid/>
              <w:color w:val="404040"/>
              <w:sz w:val="28"/>
              <w:szCs w:val="28"/>
            </w:rPr>
            <w:t>|</w:t>
          </w:r>
          <w:r w:rsidRPr="00B94880">
            <w:rPr>
              <w:rFonts w:ascii="EurostileT" w:hAnsi="EurostileT"/>
              <w:snapToGrid/>
              <w:color w:val="404040"/>
              <w:sz w:val="18"/>
              <w:szCs w:val="18"/>
            </w:rPr>
            <w:t xml:space="preserve"> </w:t>
          </w:r>
          <w:r w:rsidRPr="00B94880">
            <w:rPr>
              <w:rFonts w:ascii="EurostileT" w:hAnsi="EurostileT"/>
              <w:b/>
              <w:snapToGrid/>
              <w:color w:val="404040"/>
              <w:sz w:val="18"/>
              <w:szCs w:val="18"/>
            </w:rPr>
            <w:fldChar w:fldCharType="begin"/>
          </w:r>
          <w:r w:rsidRPr="00B94880">
            <w:rPr>
              <w:rFonts w:ascii="EurostileT" w:hAnsi="EurostileT"/>
              <w:b/>
              <w:snapToGrid/>
              <w:color w:val="404040"/>
              <w:sz w:val="18"/>
              <w:szCs w:val="18"/>
            </w:rPr>
            <w:instrText>NUMPAGES</w:instrText>
          </w:r>
          <w:r w:rsidRPr="00B94880">
            <w:rPr>
              <w:rFonts w:ascii="EurostileT" w:hAnsi="EurostileT"/>
              <w:b/>
              <w:snapToGrid/>
              <w:color w:val="404040"/>
              <w:sz w:val="18"/>
              <w:szCs w:val="18"/>
            </w:rPr>
            <w:fldChar w:fldCharType="separate"/>
          </w:r>
          <w:r w:rsidR="00DD78C3">
            <w:rPr>
              <w:rFonts w:ascii="EurostileT" w:hAnsi="EurostileT"/>
              <w:b/>
              <w:noProof/>
              <w:snapToGrid/>
              <w:color w:val="404040"/>
              <w:sz w:val="18"/>
              <w:szCs w:val="18"/>
            </w:rPr>
            <w:t>56</w:t>
          </w:r>
          <w:r w:rsidRPr="00B94880">
            <w:rPr>
              <w:rFonts w:ascii="EurostileT" w:hAnsi="EurostileT"/>
              <w:b/>
              <w:snapToGrid/>
              <w:color w:val="404040"/>
              <w:sz w:val="18"/>
              <w:szCs w:val="18"/>
            </w:rPr>
            <w:fldChar w:fldCharType="end"/>
          </w:r>
        </w:p>
      </w:tc>
    </w:tr>
  </w:tbl>
  <w:p w14:paraId="42910AE7" w14:textId="77777777" w:rsidR="0023419D" w:rsidRDefault="0023419D">
    <w:pPr>
      <w:pStyle w:val="Piedepgina"/>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2" w:type="dxa"/>
      <w:tblBorders>
        <w:top w:val="single" w:sz="12" w:space="0" w:color="4F81BD"/>
      </w:tblBorders>
      <w:tblLayout w:type="fixed"/>
      <w:tblLook w:val="00A0" w:firstRow="1" w:lastRow="0" w:firstColumn="1" w:lastColumn="0" w:noHBand="0" w:noVBand="0"/>
    </w:tblPr>
    <w:tblGrid>
      <w:gridCol w:w="7479"/>
      <w:gridCol w:w="236"/>
      <w:gridCol w:w="1587"/>
    </w:tblGrid>
    <w:tr w:rsidR="0023419D" w14:paraId="352A4E8F" w14:textId="77777777" w:rsidTr="00AB7C5B">
      <w:trPr>
        <w:trHeight w:val="673"/>
      </w:trPr>
      <w:tc>
        <w:tcPr>
          <w:tcW w:w="7479" w:type="dxa"/>
          <w:tcBorders>
            <w:top w:val="single" w:sz="12" w:space="0" w:color="4F81BD"/>
          </w:tcBorders>
        </w:tcPr>
        <w:p w14:paraId="05FB53E2" w14:textId="77777777" w:rsidR="0023419D" w:rsidRPr="00B94880" w:rsidRDefault="0023419D" w:rsidP="002C4E1D">
          <w:pPr>
            <w:pStyle w:val="Piedepgina"/>
            <w:spacing w:before="40"/>
            <w:ind w:right="159"/>
            <w:jc w:val="right"/>
            <w:rPr>
              <w:rFonts w:ascii="EurostileT" w:hAnsi="EurostileT"/>
              <w:snapToGrid/>
              <w:color w:val="595959"/>
            </w:rPr>
          </w:pPr>
        </w:p>
      </w:tc>
      <w:tc>
        <w:tcPr>
          <w:tcW w:w="236" w:type="dxa"/>
          <w:tcBorders>
            <w:top w:val="single" w:sz="12" w:space="0" w:color="4F81BD"/>
          </w:tcBorders>
          <w:shd w:val="clear" w:color="auto" w:fill="4F81BD"/>
        </w:tcPr>
        <w:p w14:paraId="15CDB0B6" w14:textId="77777777" w:rsidR="0023419D" w:rsidRPr="00B94880" w:rsidRDefault="0023419D" w:rsidP="002C4E1D">
          <w:pPr>
            <w:pStyle w:val="Piedepgina"/>
            <w:jc w:val="right"/>
            <w:rPr>
              <w:snapToGrid/>
            </w:rPr>
          </w:pPr>
        </w:p>
      </w:tc>
      <w:tc>
        <w:tcPr>
          <w:tcW w:w="1587" w:type="dxa"/>
          <w:tcBorders>
            <w:top w:val="single" w:sz="12" w:space="0" w:color="4F81BD"/>
          </w:tcBorders>
        </w:tcPr>
        <w:p w14:paraId="0F010505" w14:textId="77777777" w:rsidR="0023419D" w:rsidRPr="00B94880" w:rsidRDefault="0023419D" w:rsidP="002C4E1D">
          <w:pPr>
            <w:pStyle w:val="Piedepgina"/>
            <w:jc w:val="right"/>
            <w:rPr>
              <w:rFonts w:ascii="EurostileT" w:hAnsi="EurostileT"/>
              <w:snapToGrid/>
            </w:rPr>
          </w:pPr>
          <w:r w:rsidRPr="00B94880">
            <w:rPr>
              <w:rFonts w:ascii="EurostileT" w:hAnsi="EurostileT"/>
              <w:snapToGrid/>
            </w:rPr>
            <w:t xml:space="preserve">Página </w:t>
          </w:r>
          <w:r w:rsidRPr="00B94880">
            <w:rPr>
              <w:rFonts w:ascii="EurostileT" w:hAnsi="EurostileT"/>
              <w:b/>
              <w:snapToGrid/>
            </w:rPr>
            <w:fldChar w:fldCharType="begin"/>
          </w:r>
          <w:r w:rsidRPr="00B94880">
            <w:rPr>
              <w:rFonts w:ascii="EurostileT" w:hAnsi="EurostileT"/>
              <w:b/>
              <w:snapToGrid/>
            </w:rPr>
            <w:instrText>PAGE</w:instrText>
          </w:r>
          <w:r w:rsidRPr="00B94880">
            <w:rPr>
              <w:rFonts w:ascii="EurostileT" w:hAnsi="EurostileT"/>
              <w:b/>
              <w:snapToGrid/>
            </w:rPr>
            <w:fldChar w:fldCharType="separate"/>
          </w:r>
          <w:r w:rsidR="00DD78C3">
            <w:rPr>
              <w:rFonts w:ascii="EurostileT" w:hAnsi="EurostileT"/>
              <w:b/>
              <w:noProof/>
              <w:snapToGrid/>
            </w:rPr>
            <w:t>9</w:t>
          </w:r>
          <w:r w:rsidRPr="00B94880">
            <w:rPr>
              <w:rFonts w:ascii="EurostileT" w:hAnsi="EurostileT"/>
              <w:b/>
              <w:snapToGrid/>
            </w:rPr>
            <w:fldChar w:fldCharType="end"/>
          </w:r>
          <w:r w:rsidRPr="00B94880">
            <w:rPr>
              <w:rFonts w:ascii="EurostileT" w:hAnsi="EurostileT"/>
              <w:snapToGrid/>
            </w:rPr>
            <w:t xml:space="preserve"> </w:t>
          </w:r>
          <w:r w:rsidRPr="00B94880">
            <w:rPr>
              <w:rFonts w:ascii="EurostileT" w:hAnsi="EurostileT"/>
              <w:snapToGrid/>
              <w:color w:val="404040"/>
              <w:sz w:val="28"/>
              <w:szCs w:val="28"/>
            </w:rPr>
            <w:t>|</w:t>
          </w:r>
          <w:r w:rsidRPr="00B94880">
            <w:rPr>
              <w:rFonts w:ascii="EurostileT" w:hAnsi="EurostileT"/>
              <w:snapToGrid/>
              <w:color w:val="404040"/>
              <w:sz w:val="18"/>
              <w:szCs w:val="18"/>
            </w:rPr>
            <w:t xml:space="preserve"> </w:t>
          </w:r>
          <w:r w:rsidRPr="00B94880">
            <w:rPr>
              <w:rFonts w:ascii="EurostileT" w:hAnsi="EurostileT"/>
              <w:b/>
              <w:snapToGrid/>
              <w:color w:val="404040"/>
              <w:sz w:val="18"/>
              <w:szCs w:val="18"/>
            </w:rPr>
            <w:fldChar w:fldCharType="begin"/>
          </w:r>
          <w:r w:rsidRPr="00B94880">
            <w:rPr>
              <w:rFonts w:ascii="EurostileT" w:hAnsi="EurostileT"/>
              <w:b/>
              <w:snapToGrid/>
              <w:color w:val="404040"/>
              <w:sz w:val="18"/>
              <w:szCs w:val="18"/>
            </w:rPr>
            <w:instrText>NUMPAGES</w:instrText>
          </w:r>
          <w:r w:rsidRPr="00B94880">
            <w:rPr>
              <w:rFonts w:ascii="EurostileT" w:hAnsi="EurostileT"/>
              <w:b/>
              <w:snapToGrid/>
              <w:color w:val="404040"/>
              <w:sz w:val="18"/>
              <w:szCs w:val="18"/>
            </w:rPr>
            <w:fldChar w:fldCharType="separate"/>
          </w:r>
          <w:r w:rsidR="00DD78C3">
            <w:rPr>
              <w:rFonts w:ascii="EurostileT" w:hAnsi="EurostileT"/>
              <w:b/>
              <w:noProof/>
              <w:snapToGrid/>
              <w:color w:val="404040"/>
              <w:sz w:val="18"/>
              <w:szCs w:val="18"/>
            </w:rPr>
            <w:t>56</w:t>
          </w:r>
          <w:r w:rsidRPr="00B94880">
            <w:rPr>
              <w:rFonts w:ascii="EurostileT" w:hAnsi="EurostileT"/>
              <w:b/>
              <w:snapToGrid/>
              <w:color w:val="404040"/>
              <w:sz w:val="18"/>
              <w:szCs w:val="18"/>
            </w:rPr>
            <w:fldChar w:fldCharType="end"/>
          </w:r>
        </w:p>
      </w:tc>
    </w:tr>
  </w:tbl>
  <w:p w14:paraId="33149134" w14:textId="77777777" w:rsidR="0023419D" w:rsidRDefault="0023419D">
    <w:pPr>
      <w:pStyle w:val="Piedepgina"/>
      <w:jc w:val="center"/>
      <w:rPr>
        <w:rFonts w:ascii="Arial" w:hAnsi="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76" w:type="dxa"/>
      <w:tblBorders>
        <w:top w:val="single" w:sz="12" w:space="0" w:color="4F81BD"/>
      </w:tblBorders>
      <w:tblLayout w:type="fixed"/>
      <w:tblLook w:val="00A0" w:firstRow="1" w:lastRow="0" w:firstColumn="1" w:lastColumn="0" w:noHBand="0" w:noVBand="0"/>
    </w:tblPr>
    <w:tblGrid>
      <w:gridCol w:w="12281"/>
      <w:gridCol w:w="236"/>
      <w:gridCol w:w="1559"/>
    </w:tblGrid>
    <w:tr w:rsidR="0023419D" w14:paraId="605BA251" w14:textId="77777777" w:rsidTr="00902F27">
      <w:tc>
        <w:tcPr>
          <w:tcW w:w="12281" w:type="dxa"/>
          <w:tcBorders>
            <w:top w:val="single" w:sz="12" w:space="0" w:color="4F81BD"/>
          </w:tcBorders>
        </w:tcPr>
        <w:p w14:paraId="4767A26E" w14:textId="77777777" w:rsidR="0023419D" w:rsidRPr="00B94880" w:rsidRDefault="0023419D" w:rsidP="002C4E1D">
          <w:pPr>
            <w:pStyle w:val="Piedepgina"/>
            <w:spacing w:before="40"/>
            <w:ind w:right="159"/>
            <w:jc w:val="right"/>
            <w:rPr>
              <w:rFonts w:ascii="EurostileT" w:hAnsi="EurostileT"/>
              <w:snapToGrid/>
              <w:color w:val="595959"/>
            </w:rPr>
          </w:pPr>
        </w:p>
      </w:tc>
      <w:tc>
        <w:tcPr>
          <w:tcW w:w="236" w:type="dxa"/>
          <w:tcBorders>
            <w:top w:val="single" w:sz="12" w:space="0" w:color="4F81BD"/>
          </w:tcBorders>
          <w:shd w:val="clear" w:color="auto" w:fill="4F81BD"/>
        </w:tcPr>
        <w:p w14:paraId="6DCF2070" w14:textId="77777777" w:rsidR="0023419D" w:rsidRPr="00B94880" w:rsidRDefault="0023419D" w:rsidP="002C4E1D">
          <w:pPr>
            <w:pStyle w:val="Piedepgina"/>
            <w:jc w:val="right"/>
            <w:rPr>
              <w:snapToGrid/>
            </w:rPr>
          </w:pPr>
        </w:p>
      </w:tc>
      <w:tc>
        <w:tcPr>
          <w:tcW w:w="1559" w:type="dxa"/>
          <w:tcBorders>
            <w:top w:val="single" w:sz="12" w:space="0" w:color="4F81BD"/>
          </w:tcBorders>
        </w:tcPr>
        <w:p w14:paraId="3E1C57A8" w14:textId="77777777" w:rsidR="0023419D" w:rsidRPr="00B94880" w:rsidRDefault="0023419D" w:rsidP="002C4E1D">
          <w:pPr>
            <w:pStyle w:val="Piedepgina"/>
            <w:jc w:val="right"/>
            <w:rPr>
              <w:rFonts w:ascii="EurostileT" w:hAnsi="EurostileT"/>
              <w:snapToGrid/>
            </w:rPr>
          </w:pPr>
          <w:r w:rsidRPr="00B94880">
            <w:rPr>
              <w:rFonts w:ascii="EurostileT" w:hAnsi="EurostileT"/>
              <w:snapToGrid/>
            </w:rPr>
            <w:t xml:space="preserve">Página </w:t>
          </w:r>
          <w:r w:rsidRPr="00B94880">
            <w:rPr>
              <w:rFonts w:ascii="EurostileT" w:hAnsi="EurostileT"/>
              <w:b/>
              <w:snapToGrid/>
            </w:rPr>
            <w:fldChar w:fldCharType="begin"/>
          </w:r>
          <w:r w:rsidRPr="00B94880">
            <w:rPr>
              <w:rFonts w:ascii="EurostileT" w:hAnsi="EurostileT"/>
              <w:b/>
              <w:snapToGrid/>
            </w:rPr>
            <w:instrText>PAGE</w:instrText>
          </w:r>
          <w:r w:rsidRPr="00B94880">
            <w:rPr>
              <w:rFonts w:ascii="EurostileT" w:hAnsi="EurostileT"/>
              <w:b/>
              <w:snapToGrid/>
            </w:rPr>
            <w:fldChar w:fldCharType="separate"/>
          </w:r>
          <w:r w:rsidR="00DD78C3">
            <w:rPr>
              <w:rFonts w:ascii="EurostileT" w:hAnsi="EurostileT"/>
              <w:b/>
              <w:noProof/>
              <w:snapToGrid/>
            </w:rPr>
            <w:t>31</w:t>
          </w:r>
          <w:r w:rsidRPr="00B94880">
            <w:rPr>
              <w:rFonts w:ascii="EurostileT" w:hAnsi="EurostileT"/>
              <w:b/>
              <w:snapToGrid/>
            </w:rPr>
            <w:fldChar w:fldCharType="end"/>
          </w:r>
          <w:r w:rsidRPr="00B94880">
            <w:rPr>
              <w:rFonts w:ascii="EurostileT" w:hAnsi="EurostileT"/>
              <w:snapToGrid/>
            </w:rPr>
            <w:t xml:space="preserve"> </w:t>
          </w:r>
          <w:r w:rsidRPr="00B94880">
            <w:rPr>
              <w:rFonts w:ascii="EurostileT" w:hAnsi="EurostileT"/>
              <w:snapToGrid/>
              <w:color w:val="404040"/>
              <w:sz w:val="28"/>
              <w:szCs w:val="28"/>
            </w:rPr>
            <w:t>|</w:t>
          </w:r>
          <w:r w:rsidRPr="00B94880">
            <w:rPr>
              <w:rFonts w:ascii="EurostileT" w:hAnsi="EurostileT"/>
              <w:snapToGrid/>
              <w:color w:val="404040"/>
              <w:sz w:val="18"/>
              <w:szCs w:val="18"/>
            </w:rPr>
            <w:t xml:space="preserve"> </w:t>
          </w:r>
          <w:r w:rsidRPr="00B94880">
            <w:rPr>
              <w:rFonts w:ascii="EurostileT" w:hAnsi="EurostileT"/>
              <w:b/>
              <w:snapToGrid/>
              <w:color w:val="404040"/>
              <w:sz w:val="18"/>
              <w:szCs w:val="18"/>
            </w:rPr>
            <w:fldChar w:fldCharType="begin"/>
          </w:r>
          <w:r w:rsidRPr="00B94880">
            <w:rPr>
              <w:rFonts w:ascii="EurostileT" w:hAnsi="EurostileT"/>
              <w:b/>
              <w:snapToGrid/>
              <w:color w:val="404040"/>
              <w:sz w:val="18"/>
              <w:szCs w:val="18"/>
            </w:rPr>
            <w:instrText>NUMPAGES</w:instrText>
          </w:r>
          <w:r w:rsidRPr="00B94880">
            <w:rPr>
              <w:rFonts w:ascii="EurostileT" w:hAnsi="EurostileT"/>
              <w:b/>
              <w:snapToGrid/>
              <w:color w:val="404040"/>
              <w:sz w:val="18"/>
              <w:szCs w:val="18"/>
            </w:rPr>
            <w:fldChar w:fldCharType="separate"/>
          </w:r>
          <w:r w:rsidR="00DD78C3">
            <w:rPr>
              <w:rFonts w:ascii="EurostileT" w:hAnsi="EurostileT"/>
              <w:b/>
              <w:noProof/>
              <w:snapToGrid/>
              <w:color w:val="404040"/>
              <w:sz w:val="18"/>
              <w:szCs w:val="18"/>
            </w:rPr>
            <w:t>56</w:t>
          </w:r>
          <w:r w:rsidRPr="00B94880">
            <w:rPr>
              <w:rFonts w:ascii="EurostileT" w:hAnsi="EurostileT"/>
              <w:b/>
              <w:snapToGrid/>
              <w:color w:val="404040"/>
              <w:sz w:val="18"/>
              <w:szCs w:val="18"/>
            </w:rPr>
            <w:fldChar w:fldCharType="end"/>
          </w:r>
        </w:p>
      </w:tc>
    </w:tr>
  </w:tbl>
  <w:p w14:paraId="366EF8E9" w14:textId="77777777" w:rsidR="0023419D" w:rsidRDefault="0023419D">
    <w:pPr>
      <w:pStyle w:val="Piedepgina"/>
      <w:jc w:val="center"/>
      <w:rPr>
        <w:rFonts w:ascii="Arial" w:hAnsi="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2" w:type="dxa"/>
      <w:tblBorders>
        <w:top w:val="single" w:sz="12" w:space="0" w:color="4F81BD"/>
      </w:tblBorders>
      <w:tblLayout w:type="fixed"/>
      <w:tblLook w:val="00A0" w:firstRow="1" w:lastRow="0" w:firstColumn="1" w:lastColumn="0" w:noHBand="0" w:noVBand="0"/>
    </w:tblPr>
    <w:tblGrid>
      <w:gridCol w:w="7479"/>
      <w:gridCol w:w="236"/>
      <w:gridCol w:w="1587"/>
    </w:tblGrid>
    <w:tr w:rsidR="0023419D" w14:paraId="5335EBD6" w14:textId="77777777" w:rsidTr="00902F27">
      <w:tc>
        <w:tcPr>
          <w:tcW w:w="7479" w:type="dxa"/>
          <w:tcBorders>
            <w:top w:val="single" w:sz="12" w:space="0" w:color="4F81BD"/>
          </w:tcBorders>
        </w:tcPr>
        <w:p w14:paraId="7CF4917D" w14:textId="77777777" w:rsidR="0023419D" w:rsidRPr="00B94880" w:rsidRDefault="0023419D" w:rsidP="00902F27">
          <w:pPr>
            <w:pStyle w:val="Piedepgina"/>
            <w:spacing w:before="40"/>
            <w:ind w:right="159"/>
            <w:jc w:val="right"/>
            <w:rPr>
              <w:rFonts w:ascii="EurostileT" w:hAnsi="EurostileT"/>
              <w:snapToGrid/>
              <w:color w:val="595959"/>
            </w:rPr>
          </w:pPr>
        </w:p>
      </w:tc>
      <w:tc>
        <w:tcPr>
          <w:tcW w:w="236" w:type="dxa"/>
          <w:tcBorders>
            <w:top w:val="single" w:sz="12" w:space="0" w:color="4F81BD"/>
          </w:tcBorders>
          <w:shd w:val="clear" w:color="auto" w:fill="4F81BD"/>
        </w:tcPr>
        <w:p w14:paraId="4D7E5235" w14:textId="77777777" w:rsidR="0023419D" w:rsidRPr="00B94880" w:rsidRDefault="0023419D" w:rsidP="00902F27">
          <w:pPr>
            <w:pStyle w:val="Piedepgina"/>
            <w:jc w:val="right"/>
            <w:rPr>
              <w:snapToGrid/>
            </w:rPr>
          </w:pPr>
        </w:p>
      </w:tc>
      <w:tc>
        <w:tcPr>
          <w:tcW w:w="1587" w:type="dxa"/>
          <w:tcBorders>
            <w:top w:val="single" w:sz="12" w:space="0" w:color="4F81BD"/>
          </w:tcBorders>
        </w:tcPr>
        <w:p w14:paraId="0224A761" w14:textId="77777777" w:rsidR="0023419D" w:rsidRPr="00B94880" w:rsidRDefault="0023419D" w:rsidP="00902F27">
          <w:pPr>
            <w:pStyle w:val="Piedepgina"/>
            <w:jc w:val="right"/>
            <w:rPr>
              <w:rFonts w:ascii="EurostileT" w:hAnsi="EurostileT"/>
              <w:snapToGrid/>
            </w:rPr>
          </w:pPr>
          <w:r w:rsidRPr="00B94880">
            <w:rPr>
              <w:rFonts w:ascii="EurostileT" w:hAnsi="EurostileT"/>
              <w:snapToGrid/>
            </w:rPr>
            <w:t xml:space="preserve">Página </w:t>
          </w:r>
          <w:r w:rsidRPr="00B94880">
            <w:rPr>
              <w:rFonts w:ascii="EurostileT" w:hAnsi="EurostileT"/>
              <w:b/>
              <w:snapToGrid/>
            </w:rPr>
            <w:fldChar w:fldCharType="begin"/>
          </w:r>
          <w:r w:rsidRPr="00B94880">
            <w:rPr>
              <w:rFonts w:ascii="EurostileT" w:hAnsi="EurostileT"/>
              <w:b/>
              <w:snapToGrid/>
            </w:rPr>
            <w:instrText>PAGE</w:instrText>
          </w:r>
          <w:r w:rsidRPr="00B94880">
            <w:rPr>
              <w:rFonts w:ascii="EurostileT" w:hAnsi="EurostileT"/>
              <w:b/>
              <w:snapToGrid/>
            </w:rPr>
            <w:fldChar w:fldCharType="separate"/>
          </w:r>
          <w:r w:rsidR="00DD78C3">
            <w:rPr>
              <w:rFonts w:ascii="EurostileT" w:hAnsi="EurostileT"/>
              <w:b/>
              <w:noProof/>
              <w:snapToGrid/>
            </w:rPr>
            <w:t>56</w:t>
          </w:r>
          <w:r w:rsidRPr="00B94880">
            <w:rPr>
              <w:rFonts w:ascii="EurostileT" w:hAnsi="EurostileT"/>
              <w:b/>
              <w:snapToGrid/>
            </w:rPr>
            <w:fldChar w:fldCharType="end"/>
          </w:r>
          <w:r w:rsidRPr="00B94880">
            <w:rPr>
              <w:rFonts w:ascii="EurostileT" w:hAnsi="EurostileT"/>
              <w:snapToGrid/>
            </w:rPr>
            <w:t xml:space="preserve"> </w:t>
          </w:r>
          <w:r w:rsidRPr="00B94880">
            <w:rPr>
              <w:rFonts w:ascii="EurostileT" w:hAnsi="EurostileT"/>
              <w:snapToGrid/>
              <w:color w:val="404040"/>
              <w:sz w:val="28"/>
              <w:szCs w:val="28"/>
            </w:rPr>
            <w:t>|</w:t>
          </w:r>
          <w:r w:rsidRPr="00B94880">
            <w:rPr>
              <w:rFonts w:ascii="EurostileT" w:hAnsi="EurostileT"/>
              <w:snapToGrid/>
              <w:color w:val="404040"/>
              <w:sz w:val="18"/>
              <w:szCs w:val="18"/>
            </w:rPr>
            <w:t xml:space="preserve"> </w:t>
          </w:r>
          <w:r w:rsidRPr="00B94880">
            <w:rPr>
              <w:rFonts w:ascii="EurostileT" w:hAnsi="EurostileT"/>
              <w:b/>
              <w:snapToGrid/>
              <w:color w:val="404040"/>
              <w:sz w:val="18"/>
              <w:szCs w:val="18"/>
            </w:rPr>
            <w:fldChar w:fldCharType="begin"/>
          </w:r>
          <w:r w:rsidRPr="00B94880">
            <w:rPr>
              <w:rFonts w:ascii="EurostileT" w:hAnsi="EurostileT"/>
              <w:b/>
              <w:snapToGrid/>
              <w:color w:val="404040"/>
              <w:sz w:val="18"/>
              <w:szCs w:val="18"/>
            </w:rPr>
            <w:instrText>NUMPAGES</w:instrText>
          </w:r>
          <w:r w:rsidRPr="00B94880">
            <w:rPr>
              <w:rFonts w:ascii="EurostileT" w:hAnsi="EurostileT"/>
              <w:b/>
              <w:snapToGrid/>
              <w:color w:val="404040"/>
              <w:sz w:val="18"/>
              <w:szCs w:val="18"/>
            </w:rPr>
            <w:fldChar w:fldCharType="separate"/>
          </w:r>
          <w:r w:rsidR="00DD78C3">
            <w:rPr>
              <w:rFonts w:ascii="EurostileT" w:hAnsi="EurostileT"/>
              <w:b/>
              <w:noProof/>
              <w:snapToGrid/>
              <w:color w:val="404040"/>
              <w:sz w:val="18"/>
              <w:szCs w:val="18"/>
            </w:rPr>
            <w:t>56</w:t>
          </w:r>
          <w:r w:rsidRPr="00B94880">
            <w:rPr>
              <w:rFonts w:ascii="EurostileT" w:hAnsi="EurostileT"/>
              <w:b/>
              <w:snapToGrid/>
              <w:color w:val="404040"/>
              <w:sz w:val="18"/>
              <w:szCs w:val="18"/>
            </w:rPr>
            <w:fldChar w:fldCharType="end"/>
          </w:r>
        </w:p>
      </w:tc>
    </w:tr>
  </w:tbl>
  <w:p w14:paraId="56A5420A" w14:textId="77777777" w:rsidR="0023419D" w:rsidRDefault="0023419D">
    <w:pPr>
      <w:pStyle w:val="Piedepgina"/>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BA81" w14:textId="77777777" w:rsidR="0023419D" w:rsidRDefault="0023419D">
      <w:r>
        <w:separator/>
      </w:r>
    </w:p>
  </w:footnote>
  <w:footnote w:type="continuationSeparator" w:id="0">
    <w:p w14:paraId="74131F59" w14:textId="77777777" w:rsidR="0023419D" w:rsidRDefault="0023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AF8E" w14:textId="77777777" w:rsidR="0023419D" w:rsidRDefault="0023419D" w:rsidP="00B571F7">
    <w:pPr>
      <w:pStyle w:val="Encabezado"/>
      <w:spacing w:after="120"/>
    </w:pPr>
  </w:p>
  <w:tbl>
    <w:tblPr>
      <w:tblW w:w="0" w:type="auto"/>
      <w:tblBorders>
        <w:bottom w:val="single" w:sz="18" w:space="0" w:color="005BA6"/>
      </w:tblBorders>
      <w:tblLook w:val="00A0" w:firstRow="1" w:lastRow="0" w:firstColumn="1" w:lastColumn="0" w:noHBand="0" w:noVBand="0"/>
    </w:tblPr>
    <w:tblGrid>
      <w:gridCol w:w="4606"/>
      <w:gridCol w:w="4606"/>
    </w:tblGrid>
    <w:tr w:rsidR="0023419D" w14:paraId="2B8A61AA" w14:textId="77777777">
      <w:tc>
        <w:tcPr>
          <w:tcW w:w="4606" w:type="dxa"/>
          <w:tcBorders>
            <w:bottom w:val="single" w:sz="18" w:space="0" w:color="005BA6"/>
          </w:tcBorders>
          <w:vAlign w:val="center"/>
        </w:tcPr>
        <w:p w14:paraId="341F8033" w14:textId="77777777" w:rsidR="0023419D" w:rsidRPr="00B94880" w:rsidRDefault="0023419D" w:rsidP="002C4E1D">
          <w:pPr>
            <w:pStyle w:val="Encabezado"/>
            <w:spacing w:after="60"/>
            <w:rPr>
              <w:lang w:val="es-ES"/>
            </w:rPr>
          </w:pPr>
          <w:r>
            <w:rPr>
              <w:noProof/>
              <w:lang w:val="es-ES"/>
            </w:rPr>
            <w:drawing>
              <wp:inline distT="0" distB="0" distL="0" distR="0" wp14:anchorId="64F05DD4" wp14:editId="744C6B86">
                <wp:extent cx="1353820" cy="213995"/>
                <wp:effectExtent l="19050" t="0" r="0" b="0"/>
                <wp:docPr id="9" name="Picture 3" descr="logo-intia-info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ntia-informe2"/>
                        <pic:cNvPicPr>
                          <a:picLocks noChangeAspect="1" noChangeArrowheads="1"/>
                        </pic:cNvPicPr>
                      </pic:nvPicPr>
                      <pic:blipFill>
                        <a:blip r:embed="rId1"/>
                        <a:srcRect/>
                        <a:stretch>
                          <a:fillRect/>
                        </a:stretch>
                      </pic:blipFill>
                      <pic:spPr bwMode="auto">
                        <a:xfrm>
                          <a:off x="0" y="0"/>
                          <a:ext cx="1353820" cy="213995"/>
                        </a:xfrm>
                        <a:prstGeom prst="rect">
                          <a:avLst/>
                        </a:prstGeom>
                        <a:noFill/>
                        <a:ln w="9525">
                          <a:noFill/>
                          <a:miter lim="800000"/>
                          <a:headEnd/>
                          <a:tailEnd/>
                        </a:ln>
                      </pic:spPr>
                    </pic:pic>
                  </a:graphicData>
                </a:graphic>
              </wp:inline>
            </w:drawing>
          </w:r>
        </w:p>
      </w:tc>
      <w:tc>
        <w:tcPr>
          <w:tcW w:w="4606" w:type="dxa"/>
          <w:tcBorders>
            <w:bottom w:val="single" w:sz="18" w:space="0" w:color="005BA6"/>
          </w:tcBorders>
          <w:vAlign w:val="bottom"/>
        </w:tcPr>
        <w:p w14:paraId="37860569" w14:textId="77777777" w:rsidR="0023419D" w:rsidRPr="00B94880" w:rsidRDefault="0023419D" w:rsidP="00097129">
          <w:pPr>
            <w:pStyle w:val="Encabezado"/>
            <w:jc w:val="right"/>
            <w:rPr>
              <w:color w:val="005BA6"/>
              <w:lang w:val="es-ES"/>
            </w:rPr>
          </w:pPr>
          <w:r w:rsidRPr="00B94880">
            <w:rPr>
              <w:rFonts w:ascii="EurostileT" w:hAnsi="EurostileT"/>
              <w:color w:val="005BA6"/>
              <w:sz w:val="20"/>
              <w:lang w:val="es-ES"/>
            </w:rPr>
            <w:t>Cuentas Anuales 201</w:t>
          </w:r>
          <w:r>
            <w:rPr>
              <w:rFonts w:ascii="EurostileT" w:hAnsi="EurostileT"/>
              <w:color w:val="005BA6"/>
              <w:sz w:val="20"/>
              <w:lang w:val="es-ES"/>
            </w:rPr>
            <w:t>9</w:t>
          </w:r>
        </w:p>
      </w:tc>
    </w:tr>
  </w:tbl>
  <w:p w14:paraId="76D18C66" w14:textId="77777777" w:rsidR="0023419D" w:rsidRDefault="0023419D" w:rsidP="00CD53A8">
    <w:pPr>
      <w:pStyle w:val="Encabezado"/>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104B7" w14:textId="77777777" w:rsidR="0023419D" w:rsidRDefault="0023419D" w:rsidP="00B571F7">
    <w:pPr>
      <w:pStyle w:val="Encabezado"/>
      <w:spacing w:after="120"/>
    </w:pPr>
  </w:p>
  <w:tbl>
    <w:tblPr>
      <w:tblW w:w="0" w:type="auto"/>
      <w:tblBorders>
        <w:bottom w:val="single" w:sz="18" w:space="0" w:color="005BA6"/>
      </w:tblBorders>
      <w:tblLook w:val="00A0" w:firstRow="1" w:lastRow="0" w:firstColumn="1" w:lastColumn="0" w:noHBand="0" w:noVBand="0"/>
    </w:tblPr>
    <w:tblGrid>
      <w:gridCol w:w="4606"/>
      <w:gridCol w:w="8827"/>
    </w:tblGrid>
    <w:tr w:rsidR="0023419D" w14:paraId="6ABA8FEC" w14:textId="77777777" w:rsidTr="000F7736">
      <w:tc>
        <w:tcPr>
          <w:tcW w:w="4606" w:type="dxa"/>
          <w:tcBorders>
            <w:bottom w:val="single" w:sz="18" w:space="0" w:color="005BA6"/>
          </w:tcBorders>
          <w:vAlign w:val="center"/>
        </w:tcPr>
        <w:p w14:paraId="0D2E94DC" w14:textId="77777777" w:rsidR="0023419D" w:rsidRPr="00B94880" w:rsidRDefault="0023419D" w:rsidP="002C4E1D">
          <w:pPr>
            <w:pStyle w:val="Encabezado"/>
            <w:spacing w:after="60"/>
            <w:rPr>
              <w:lang w:val="es-ES"/>
            </w:rPr>
          </w:pPr>
          <w:r>
            <w:rPr>
              <w:noProof/>
              <w:lang w:val="es-ES"/>
            </w:rPr>
            <w:drawing>
              <wp:inline distT="0" distB="0" distL="0" distR="0" wp14:anchorId="32C5E7E5" wp14:editId="6D5E0B8A">
                <wp:extent cx="1353820" cy="213995"/>
                <wp:effectExtent l="19050" t="0" r="0" b="0"/>
                <wp:docPr id="15" name="Picture 3" descr="logo-intia-info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ntia-informe2"/>
                        <pic:cNvPicPr>
                          <a:picLocks noChangeAspect="1" noChangeArrowheads="1"/>
                        </pic:cNvPicPr>
                      </pic:nvPicPr>
                      <pic:blipFill>
                        <a:blip r:embed="rId1"/>
                        <a:srcRect/>
                        <a:stretch>
                          <a:fillRect/>
                        </a:stretch>
                      </pic:blipFill>
                      <pic:spPr bwMode="auto">
                        <a:xfrm>
                          <a:off x="0" y="0"/>
                          <a:ext cx="1353820" cy="213995"/>
                        </a:xfrm>
                        <a:prstGeom prst="rect">
                          <a:avLst/>
                        </a:prstGeom>
                        <a:noFill/>
                        <a:ln w="9525">
                          <a:noFill/>
                          <a:miter lim="800000"/>
                          <a:headEnd/>
                          <a:tailEnd/>
                        </a:ln>
                      </pic:spPr>
                    </pic:pic>
                  </a:graphicData>
                </a:graphic>
              </wp:inline>
            </w:drawing>
          </w:r>
        </w:p>
      </w:tc>
      <w:tc>
        <w:tcPr>
          <w:tcW w:w="8827" w:type="dxa"/>
          <w:tcBorders>
            <w:bottom w:val="single" w:sz="18" w:space="0" w:color="005BA6"/>
          </w:tcBorders>
          <w:vAlign w:val="bottom"/>
        </w:tcPr>
        <w:p w14:paraId="4F116E20" w14:textId="77777777" w:rsidR="0023419D" w:rsidRPr="00B94880" w:rsidRDefault="0023419D" w:rsidP="00624CB1">
          <w:pPr>
            <w:pStyle w:val="Encabezado"/>
            <w:jc w:val="right"/>
            <w:rPr>
              <w:color w:val="005BA6"/>
              <w:lang w:val="es-ES"/>
            </w:rPr>
          </w:pPr>
          <w:r w:rsidRPr="00B94880">
            <w:rPr>
              <w:rFonts w:ascii="EurostileT" w:hAnsi="EurostileT"/>
              <w:color w:val="005BA6"/>
              <w:sz w:val="20"/>
              <w:lang w:val="es-ES"/>
            </w:rPr>
            <w:t>Cuentas Anuales 201</w:t>
          </w:r>
          <w:r>
            <w:rPr>
              <w:rFonts w:ascii="EurostileT" w:hAnsi="EurostileT"/>
              <w:color w:val="005BA6"/>
              <w:sz w:val="20"/>
              <w:lang w:val="es-ES"/>
            </w:rPr>
            <w:t>9</w:t>
          </w:r>
        </w:p>
      </w:tc>
    </w:tr>
  </w:tbl>
  <w:p w14:paraId="123049D2" w14:textId="77777777" w:rsidR="0023419D" w:rsidRDefault="0023419D" w:rsidP="00CD53A8">
    <w:pPr>
      <w:pStyle w:val="Encabezado"/>
      <w:tabs>
        <w:tab w:val="left" w:pos="467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BBF0" w14:textId="77777777" w:rsidR="0023419D" w:rsidRDefault="0023419D" w:rsidP="00B571F7">
    <w:pPr>
      <w:pStyle w:val="Encabezado"/>
      <w:spacing w:after="120"/>
    </w:pPr>
  </w:p>
  <w:tbl>
    <w:tblPr>
      <w:tblW w:w="0" w:type="auto"/>
      <w:tblBorders>
        <w:bottom w:val="single" w:sz="18" w:space="0" w:color="005BA6"/>
      </w:tblBorders>
      <w:tblLook w:val="00A0" w:firstRow="1" w:lastRow="0" w:firstColumn="1" w:lastColumn="0" w:noHBand="0" w:noVBand="0"/>
    </w:tblPr>
    <w:tblGrid>
      <w:gridCol w:w="4606"/>
      <w:gridCol w:w="4606"/>
    </w:tblGrid>
    <w:tr w:rsidR="0023419D" w14:paraId="6D2015D2" w14:textId="77777777">
      <w:tc>
        <w:tcPr>
          <w:tcW w:w="4606" w:type="dxa"/>
          <w:tcBorders>
            <w:bottom w:val="single" w:sz="18" w:space="0" w:color="005BA6"/>
          </w:tcBorders>
          <w:vAlign w:val="center"/>
        </w:tcPr>
        <w:p w14:paraId="57E9BB9B" w14:textId="77777777" w:rsidR="0023419D" w:rsidRPr="00B94880" w:rsidRDefault="0023419D" w:rsidP="002C4E1D">
          <w:pPr>
            <w:pStyle w:val="Encabezado"/>
            <w:spacing w:after="60"/>
            <w:rPr>
              <w:lang w:val="es-ES"/>
            </w:rPr>
          </w:pPr>
          <w:r>
            <w:rPr>
              <w:noProof/>
              <w:lang w:val="es-ES"/>
            </w:rPr>
            <w:drawing>
              <wp:inline distT="0" distB="0" distL="0" distR="0" wp14:anchorId="4BED94AF" wp14:editId="746DD89C">
                <wp:extent cx="1353820" cy="213995"/>
                <wp:effectExtent l="19050" t="0" r="0" b="0"/>
                <wp:docPr id="32" name="Picture 3" descr="logo-intia-info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ntia-informe2"/>
                        <pic:cNvPicPr>
                          <a:picLocks noChangeAspect="1" noChangeArrowheads="1"/>
                        </pic:cNvPicPr>
                      </pic:nvPicPr>
                      <pic:blipFill>
                        <a:blip r:embed="rId1"/>
                        <a:srcRect/>
                        <a:stretch>
                          <a:fillRect/>
                        </a:stretch>
                      </pic:blipFill>
                      <pic:spPr bwMode="auto">
                        <a:xfrm>
                          <a:off x="0" y="0"/>
                          <a:ext cx="1353820" cy="213995"/>
                        </a:xfrm>
                        <a:prstGeom prst="rect">
                          <a:avLst/>
                        </a:prstGeom>
                        <a:noFill/>
                        <a:ln w="9525">
                          <a:noFill/>
                          <a:miter lim="800000"/>
                          <a:headEnd/>
                          <a:tailEnd/>
                        </a:ln>
                      </pic:spPr>
                    </pic:pic>
                  </a:graphicData>
                </a:graphic>
              </wp:inline>
            </w:drawing>
          </w:r>
        </w:p>
      </w:tc>
      <w:tc>
        <w:tcPr>
          <w:tcW w:w="4606" w:type="dxa"/>
          <w:tcBorders>
            <w:bottom w:val="single" w:sz="18" w:space="0" w:color="005BA6"/>
          </w:tcBorders>
          <w:vAlign w:val="bottom"/>
        </w:tcPr>
        <w:p w14:paraId="3CCF05D8" w14:textId="77777777" w:rsidR="0023419D" w:rsidRPr="00B94880" w:rsidRDefault="0023419D" w:rsidP="008A620B">
          <w:pPr>
            <w:pStyle w:val="Encabezado"/>
            <w:jc w:val="right"/>
            <w:rPr>
              <w:color w:val="005BA6"/>
              <w:lang w:val="es-ES"/>
            </w:rPr>
          </w:pPr>
          <w:r w:rsidRPr="00B94880">
            <w:rPr>
              <w:rFonts w:ascii="EurostileT" w:hAnsi="EurostileT"/>
              <w:color w:val="005BA6"/>
              <w:sz w:val="20"/>
              <w:lang w:val="es-ES"/>
            </w:rPr>
            <w:t>Cuentas Anuales 201</w:t>
          </w:r>
          <w:r>
            <w:rPr>
              <w:rFonts w:ascii="EurostileT" w:hAnsi="EurostileT"/>
              <w:color w:val="005BA6"/>
              <w:sz w:val="20"/>
              <w:lang w:val="es-ES"/>
            </w:rPr>
            <w:t>9</w:t>
          </w:r>
        </w:p>
      </w:tc>
    </w:tr>
  </w:tbl>
  <w:p w14:paraId="02F1F7C7" w14:textId="77777777" w:rsidR="0023419D" w:rsidRDefault="0023419D" w:rsidP="00CD53A8">
    <w:pPr>
      <w:pStyle w:val="Encabezado"/>
      <w:tabs>
        <w:tab w:val="left"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14D7" w14:textId="77777777" w:rsidR="0023419D" w:rsidRDefault="0023419D" w:rsidP="00B571F7">
    <w:pPr>
      <w:pStyle w:val="Encabezado"/>
      <w:spacing w:after="120"/>
    </w:pPr>
  </w:p>
  <w:tbl>
    <w:tblPr>
      <w:tblW w:w="14000" w:type="dxa"/>
      <w:tblBorders>
        <w:bottom w:val="single" w:sz="18" w:space="0" w:color="005BA6"/>
      </w:tblBorders>
      <w:tblLook w:val="00A0" w:firstRow="1" w:lastRow="0" w:firstColumn="1" w:lastColumn="0" w:noHBand="0" w:noVBand="0"/>
    </w:tblPr>
    <w:tblGrid>
      <w:gridCol w:w="4606"/>
      <w:gridCol w:w="9394"/>
    </w:tblGrid>
    <w:tr w:rsidR="0023419D" w14:paraId="518278BB" w14:textId="77777777" w:rsidTr="00902F27">
      <w:tc>
        <w:tcPr>
          <w:tcW w:w="4606" w:type="dxa"/>
          <w:tcBorders>
            <w:bottom w:val="single" w:sz="18" w:space="0" w:color="005BA6"/>
          </w:tcBorders>
          <w:vAlign w:val="center"/>
        </w:tcPr>
        <w:p w14:paraId="4C437E7B" w14:textId="77777777" w:rsidR="0023419D" w:rsidRPr="00B94880" w:rsidRDefault="0023419D" w:rsidP="002C4E1D">
          <w:pPr>
            <w:pStyle w:val="Encabezado"/>
            <w:spacing w:after="60"/>
            <w:rPr>
              <w:lang w:val="es-ES"/>
            </w:rPr>
          </w:pPr>
          <w:r>
            <w:rPr>
              <w:noProof/>
              <w:lang w:val="es-ES"/>
            </w:rPr>
            <w:drawing>
              <wp:inline distT="0" distB="0" distL="0" distR="0" wp14:anchorId="351BCD1D" wp14:editId="06988F81">
                <wp:extent cx="1353820" cy="225425"/>
                <wp:effectExtent l="19050" t="0" r="0" b="0"/>
                <wp:docPr id="41" name="Picture 48" descr="logo-intia-info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intia-informe2"/>
                        <pic:cNvPicPr>
                          <a:picLocks noChangeAspect="1" noChangeArrowheads="1"/>
                        </pic:cNvPicPr>
                      </pic:nvPicPr>
                      <pic:blipFill>
                        <a:blip r:embed="rId1"/>
                        <a:srcRect/>
                        <a:stretch>
                          <a:fillRect/>
                        </a:stretch>
                      </pic:blipFill>
                      <pic:spPr bwMode="auto">
                        <a:xfrm>
                          <a:off x="0" y="0"/>
                          <a:ext cx="1353820" cy="225425"/>
                        </a:xfrm>
                        <a:prstGeom prst="rect">
                          <a:avLst/>
                        </a:prstGeom>
                        <a:noFill/>
                        <a:ln w="9525">
                          <a:noFill/>
                          <a:miter lim="800000"/>
                          <a:headEnd/>
                          <a:tailEnd/>
                        </a:ln>
                      </pic:spPr>
                    </pic:pic>
                  </a:graphicData>
                </a:graphic>
              </wp:inline>
            </w:drawing>
          </w:r>
        </w:p>
      </w:tc>
      <w:tc>
        <w:tcPr>
          <w:tcW w:w="9394" w:type="dxa"/>
          <w:tcBorders>
            <w:bottom w:val="single" w:sz="18" w:space="0" w:color="005BA6"/>
          </w:tcBorders>
          <w:vAlign w:val="bottom"/>
        </w:tcPr>
        <w:p w14:paraId="5458109F" w14:textId="77777777" w:rsidR="0023419D" w:rsidRPr="00B94880" w:rsidRDefault="0023419D" w:rsidP="00E732D6">
          <w:pPr>
            <w:pStyle w:val="Encabezado"/>
            <w:jc w:val="right"/>
            <w:rPr>
              <w:rFonts w:ascii="EurostileT" w:hAnsi="EurostileT"/>
              <w:color w:val="005BA6"/>
              <w:sz w:val="20"/>
              <w:lang w:val="es-ES"/>
            </w:rPr>
          </w:pPr>
          <w:r>
            <w:rPr>
              <w:rFonts w:ascii="EurostileT" w:hAnsi="EurostileT"/>
              <w:color w:val="005BA6"/>
              <w:sz w:val="20"/>
              <w:lang w:val="es-ES"/>
            </w:rPr>
            <w:t>Cuentas Anuales 2019</w:t>
          </w:r>
        </w:p>
      </w:tc>
    </w:tr>
  </w:tbl>
  <w:p w14:paraId="155E7707" w14:textId="77777777" w:rsidR="0023419D" w:rsidRDefault="0023419D" w:rsidP="00CD53A8">
    <w:pPr>
      <w:pStyle w:val="Encabezado"/>
      <w:tabs>
        <w:tab w:val="left" w:pos="467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E2C" w14:textId="77777777" w:rsidR="0023419D" w:rsidRDefault="0023419D" w:rsidP="00B571F7">
    <w:pPr>
      <w:pStyle w:val="Encabezado"/>
      <w:spacing w:after="120"/>
    </w:pPr>
  </w:p>
  <w:tbl>
    <w:tblPr>
      <w:tblW w:w="0" w:type="auto"/>
      <w:tblBorders>
        <w:bottom w:val="single" w:sz="18" w:space="0" w:color="005BA6"/>
      </w:tblBorders>
      <w:tblLook w:val="00A0" w:firstRow="1" w:lastRow="0" w:firstColumn="1" w:lastColumn="0" w:noHBand="0" w:noVBand="0"/>
    </w:tblPr>
    <w:tblGrid>
      <w:gridCol w:w="4421"/>
      <w:gridCol w:w="4299"/>
    </w:tblGrid>
    <w:tr w:rsidR="0023419D" w14:paraId="37A287F3" w14:textId="77777777" w:rsidTr="00902F27">
      <w:tc>
        <w:tcPr>
          <w:tcW w:w="4606" w:type="dxa"/>
          <w:tcBorders>
            <w:bottom w:val="single" w:sz="18" w:space="0" w:color="005BA6"/>
          </w:tcBorders>
          <w:vAlign w:val="center"/>
        </w:tcPr>
        <w:p w14:paraId="64693AF8" w14:textId="77777777" w:rsidR="0023419D" w:rsidRPr="00B94880" w:rsidRDefault="0023419D" w:rsidP="00902F27">
          <w:pPr>
            <w:pStyle w:val="Encabezado"/>
            <w:spacing w:after="60"/>
            <w:rPr>
              <w:lang w:val="es-ES"/>
            </w:rPr>
          </w:pPr>
          <w:r>
            <w:rPr>
              <w:noProof/>
              <w:lang w:val="es-ES"/>
            </w:rPr>
            <w:drawing>
              <wp:inline distT="0" distB="0" distL="0" distR="0" wp14:anchorId="25C603A8" wp14:editId="38871BEC">
                <wp:extent cx="1353820" cy="225425"/>
                <wp:effectExtent l="19050" t="0" r="0" b="0"/>
                <wp:docPr id="52" name="Picture 49" descr="logo-intia-infor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intia-informe2"/>
                        <pic:cNvPicPr>
                          <a:picLocks noChangeAspect="1" noChangeArrowheads="1"/>
                        </pic:cNvPicPr>
                      </pic:nvPicPr>
                      <pic:blipFill>
                        <a:blip r:embed="rId1"/>
                        <a:srcRect/>
                        <a:stretch>
                          <a:fillRect/>
                        </a:stretch>
                      </pic:blipFill>
                      <pic:spPr bwMode="auto">
                        <a:xfrm>
                          <a:off x="0" y="0"/>
                          <a:ext cx="1353820" cy="225425"/>
                        </a:xfrm>
                        <a:prstGeom prst="rect">
                          <a:avLst/>
                        </a:prstGeom>
                        <a:noFill/>
                        <a:ln w="9525">
                          <a:noFill/>
                          <a:miter lim="800000"/>
                          <a:headEnd/>
                          <a:tailEnd/>
                        </a:ln>
                      </pic:spPr>
                    </pic:pic>
                  </a:graphicData>
                </a:graphic>
              </wp:inline>
            </w:drawing>
          </w:r>
        </w:p>
      </w:tc>
      <w:tc>
        <w:tcPr>
          <w:tcW w:w="4606" w:type="dxa"/>
          <w:tcBorders>
            <w:bottom w:val="single" w:sz="18" w:space="0" w:color="005BA6"/>
          </w:tcBorders>
          <w:vAlign w:val="bottom"/>
        </w:tcPr>
        <w:p w14:paraId="340825E5" w14:textId="77777777" w:rsidR="0023419D" w:rsidRPr="00B94880" w:rsidRDefault="0023419D" w:rsidP="00E732D6">
          <w:pPr>
            <w:pStyle w:val="Encabezado"/>
            <w:jc w:val="right"/>
            <w:rPr>
              <w:color w:val="005BA6"/>
              <w:lang w:val="es-ES"/>
            </w:rPr>
          </w:pPr>
          <w:r w:rsidRPr="00B94880">
            <w:rPr>
              <w:rFonts w:ascii="EurostileT" w:hAnsi="EurostileT"/>
              <w:color w:val="005BA6"/>
              <w:sz w:val="20"/>
              <w:lang w:val="es-ES"/>
            </w:rPr>
            <w:t>Cuentas Anuales 201</w:t>
          </w:r>
          <w:r>
            <w:rPr>
              <w:rFonts w:ascii="EurostileT" w:hAnsi="EurostileT"/>
              <w:color w:val="005BA6"/>
              <w:sz w:val="20"/>
              <w:lang w:val="es-ES"/>
            </w:rPr>
            <w:t>9</w:t>
          </w:r>
        </w:p>
      </w:tc>
    </w:tr>
  </w:tbl>
  <w:p w14:paraId="7146533C" w14:textId="77777777" w:rsidR="0023419D" w:rsidRDefault="0023419D" w:rsidP="00CD53A8">
    <w:pPr>
      <w:pStyle w:val="Encabezado"/>
      <w:tabs>
        <w:tab w:val="left"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F0"/>
    <w:multiLevelType w:val="hybridMultilevel"/>
    <w:tmpl w:val="C64CC67E"/>
    <w:lvl w:ilvl="0" w:tplc="C7C44480">
      <w:start w:val="1"/>
      <w:numFmt w:val="lowerLetter"/>
      <w:lvlText w:val="%1)"/>
      <w:lvlJc w:val="left"/>
      <w:pPr>
        <w:ind w:left="1199" w:hanging="360"/>
      </w:pPr>
      <w:rPr>
        <w:rFonts w:cs="Times New Roman" w:hint="default"/>
      </w:rPr>
    </w:lvl>
    <w:lvl w:ilvl="1" w:tplc="0C0A0019" w:tentative="1">
      <w:start w:val="1"/>
      <w:numFmt w:val="lowerLetter"/>
      <w:lvlText w:val="%2."/>
      <w:lvlJc w:val="left"/>
      <w:pPr>
        <w:ind w:left="1919" w:hanging="360"/>
      </w:pPr>
      <w:rPr>
        <w:rFonts w:cs="Times New Roman"/>
      </w:rPr>
    </w:lvl>
    <w:lvl w:ilvl="2" w:tplc="0C0A001B" w:tentative="1">
      <w:start w:val="1"/>
      <w:numFmt w:val="lowerRoman"/>
      <w:lvlText w:val="%3."/>
      <w:lvlJc w:val="right"/>
      <w:pPr>
        <w:ind w:left="2639" w:hanging="180"/>
      </w:pPr>
      <w:rPr>
        <w:rFonts w:cs="Times New Roman"/>
      </w:rPr>
    </w:lvl>
    <w:lvl w:ilvl="3" w:tplc="0C0A000F" w:tentative="1">
      <w:start w:val="1"/>
      <w:numFmt w:val="decimal"/>
      <w:lvlText w:val="%4."/>
      <w:lvlJc w:val="left"/>
      <w:pPr>
        <w:ind w:left="3359" w:hanging="360"/>
      </w:pPr>
      <w:rPr>
        <w:rFonts w:cs="Times New Roman"/>
      </w:rPr>
    </w:lvl>
    <w:lvl w:ilvl="4" w:tplc="0C0A0019" w:tentative="1">
      <w:start w:val="1"/>
      <w:numFmt w:val="lowerLetter"/>
      <w:lvlText w:val="%5."/>
      <w:lvlJc w:val="left"/>
      <w:pPr>
        <w:ind w:left="4079" w:hanging="360"/>
      </w:pPr>
      <w:rPr>
        <w:rFonts w:cs="Times New Roman"/>
      </w:rPr>
    </w:lvl>
    <w:lvl w:ilvl="5" w:tplc="0C0A001B" w:tentative="1">
      <w:start w:val="1"/>
      <w:numFmt w:val="lowerRoman"/>
      <w:lvlText w:val="%6."/>
      <w:lvlJc w:val="right"/>
      <w:pPr>
        <w:ind w:left="4799" w:hanging="180"/>
      </w:pPr>
      <w:rPr>
        <w:rFonts w:cs="Times New Roman"/>
      </w:rPr>
    </w:lvl>
    <w:lvl w:ilvl="6" w:tplc="0C0A000F" w:tentative="1">
      <w:start w:val="1"/>
      <w:numFmt w:val="decimal"/>
      <w:lvlText w:val="%7."/>
      <w:lvlJc w:val="left"/>
      <w:pPr>
        <w:ind w:left="5519" w:hanging="360"/>
      </w:pPr>
      <w:rPr>
        <w:rFonts w:cs="Times New Roman"/>
      </w:rPr>
    </w:lvl>
    <w:lvl w:ilvl="7" w:tplc="0C0A0019" w:tentative="1">
      <w:start w:val="1"/>
      <w:numFmt w:val="lowerLetter"/>
      <w:lvlText w:val="%8."/>
      <w:lvlJc w:val="left"/>
      <w:pPr>
        <w:ind w:left="6239" w:hanging="360"/>
      </w:pPr>
      <w:rPr>
        <w:rFonts w:cs="Times New Roman"/>
      </w:rPr>
    </w:lvl>
    <w:lvl w:ilvl="8" w:tplc="0C0A001B" w:tentative="1">
      <w:start w:val="1"/>
      <w:numFmt w:val="lowerRoman"/>
      <w:lvlText w:val="%9."/>
      <w:lvlJc w:val="right"/>
      <w:pPr>
        <w:ind w:left="6959" w:hanging="180"/>
      </w:pPr>
      <w:rPr>
        <w:rFonts w:cs="Times New Roman"/>
      </w:rPr>
    </w:lvl>
  </w:abstractNum>
  <w:abstractNum w:abstractNumId="1">
    <w:nsid w:val="027F78DE"/>
    <w:multiLevelType w:val="multilevel"/>
    <w:tmpl w:val="5B1A88CA"/>
    <w:lvl w:ilvl="0">
      <w:start w:val="2"/>
      <w:numFmt w:val="decimal"/>
      <w:lvlText w:val="4.%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Arial" w:hAnsi="Arial" w:cs="Times New Roman" w:hint="default"/>
        <w:sz w:val="20"/>
      </w:rPr>
    </w:lvl>
    <w:lvl w:ilvl="2">
      <w:start w:val="10"/>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99418FB"/>
    <w:multiLevelType w:val="singleLevel"/>
    <w:tmpl w:val="2F60D78E"/>
    <w:lvl w:ilvl="0">
      <w:start w:val="1"/>
      <w:numFmt w:val="lowerLetter"/>
      <w:lvlText w:val="%1)"/>
      <w:lvlJc w:val="left"/>
      <w:pPr>
        <w:tabs>
          <w:tab w:val="num" w:pos="570"/>
        </w:tabs>
        <w:ind w:left="570" w:hanging="570"/>
      </w:pPr>
      <w:rPr>
        <w:rFonts w:cs="Times New Roman" w:hint="default"/>
      </w:rPr>
    </w:lvl>
  </w:abstractNum>
  <w:abstractNum w:abstractNumId="3">
    <w:nsid w:val="0BE05163"/>
    <w:multiLevelType w:val="hybridMultilevel"/>
    <w:tmpl w:val="85D0DD02"/>
    <w:lvl w:ilvl="0" w:tplc="398658D0">
      <w:start w:val="1"/>
      <w:numFmt w:val="decimal"/>
      <w:lvlText w:val="%1)"/>
      <w:lvlJc w:val="left"/>
      <w:pPr>
        <w:ind w:left="570" w:hanging="360"/>
      </w:pPr>
      <w:rPr>
        <w:rFonts w:cs="Times New Roman" w:hint="default"/>
      </w:rPr>
    </w:lvl>
    <w:lvl w:ilvl="1" w:tplc="0C0A0019" w:tentative="1">
      <w:start w:val="1"/>
      <w:numFmt w:val="lowerLetter"/>
      <w:lvlText w:val="%2."/>
      <w:lvlJc w:val="left"/>
      <w:pPr>
        <w:ind w:left="1290" w:hanging="360"/>
      </w:pPr>
      <w:rPr>
        <w:rFonts w:cs="Times New Roman"/>
      </w:rPr>
    </w:lvl>
    <w:lvl w:ilvl="2" w:tplc="0C0A001B" w:tentative="1">
      <w:start w:val="1"/>
      <w:numFmt w:val="lowerRoman"/>
      <w:lvlText w:val="%3."/>
      <w:lvlJc w:val="right"/>
      <w:pPr>
        <w:ind w:left="2010" w:hanging="180"/>
      </w:pPr>
      <w:rPr>
        <w:rFonts w:cs="Times New Roman"/>
      </w:rPr>
    </w:lvl>
    <w:lvl w:ilvl="3" w:tplc="0C0A000F" w:tentative="1">
      <w:start w:val="1"/>
      <w:numFmt w:val="decimal"/>
      <w:lvlText w:val="%4."/>
      <w:lvlJc w:val="left"/>
      <w:pPr>
        <w:ind w:left="2730" w:hanging="360"/>
      </w:pPr>
      <w:rPr>
        <w:rFonts w:cs="Times New Roman"/>
      </w:rPr>
    </w:lvl>
    <w:lvl w:ilvl="4" w:tplc="0C0A0019" w:tentative="1">
      <w:start w:val="1"/>
      <w:numFmt w:val="lowerLetter"/>
      <w:lvlText w:val="%5."/>
      <w:lvlJc w:val="left"/>
      <w:pPr>
        <w:ind w:left="3450" w:hanging="360"/>
      </w:pPr>
      <w:rPr>
        <w:rFonts w:cs="Times New Roman"/>
      </w:rPr>
    </w:lvl>
    <w:lvl w:ilvl="5" w:tplc="0C0A001B" w:tentative="1">
      <w:start w:val="1"/>
      <w:numFmt w:val="lowerRoman"/>
      <w:lvlText w:val="%6."/>
      <w:lvlJc w:val="right"/>
      <w:pPr>
        <w:ind w:left="4170" w:hanging="180"/>
      </w:pPr>
      <w:rPr>
        <w:rFonts w:cs="Times New Roman"/>
      </w:rPr>
    </w:lvl>
    <w:lvl w:ilvl="6" w:tplc="0C0A000F" w:tentative="1">
      <w:start w:val="1"/>
      <w:numFmt w:val="decimal"/>
      <w:lvlText w:val="%7."/>
      <w:lvlJc w:val="left"/>
      <w:pPr>
        <w:ind w:left="4890" w:hanging="360"/>
      </w:pPr>
      <w:rPr>
        <w:rFonts w:cs="Times New Roman"/>
      </w:rPr>
    </w:lvl>
    <w:lvl w:ilvl="7" w:tplc="0C0A0019" w:tentative="1">
      <w:start w:val="1"/>
      <w:numFmt w:val="lowerLetter"/>
      <w:lvlText w:val="%8."/>
      <w:lvlJc w:val="left"/>
      <w:pPr>
        <w:ind w:left="5610" w:hanging="360"/>
      </w:pPr>
      <w:rPr>
        <w:rFonts w:cs="Times New Roman"/>
      </w:rPr>
    </w:lvl>
    <w:lvl w:ilvl="8" w:tplc="0C0A001B" w:tentative="1">
      <w:start w:val="1"/>
      <w:numFmt w:val="lowerRoman"/>
      <w:lvlText w:val="%9."/>
      <w:lvlJc w:val="right"/>
      <w:pPr>
        <w:ind w:left="6330" w:hanging="180"/>
      </w:pPr>
      <w:rPr>
        <w:rFonts w:cs="Times New Roman"/>
      </w:rPr>
    </w:lvl>
  </w:abstractNum>
  <w:abstractNum w:abstractNumId="4">
    <w:nsid w:val="1171491C"/>
    <w:multiLevelType w:val="multilevel"/>
    <w:tmpl w:val="E880325A"/>
    <w:lvl w:ilvl="0">
      <w:start w:val="4"/>
      <w:numFmt w:val="decimal"/>
      <w:lvlText w:val="%1."/>
      <w:lvlJc w:val="left"/>
      <w:pPr>
        <w:ind w:left="405" w:hanging="405"/>
      </w:pPr>
      <w:rPr>
        <w:rFonts w:cs="Times New Roman" w:hint="default"/>
      </w:rPr>
    </w:lvl>
    <w:lvl w:ilvl="1">
      <w:start w:val="12"/>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2880F35"/>
    <w:multiLevelType w:val="singleLevel"/>
    <w:tmpl w:val="4E0ED2EA"/>
    <w:lvl w:ilvl="0">
      <w:start w:val="3"/>
      <w:numFmt w:val="bullet"/>
      <w:lvlText w:val="-"/>
      <w:lvlJc w:val="left"/>
      <w:pPr>
        <w:tabs>
          <w:tab w:val="num" w:pos="927"/>
        </w:tabs>
        <w:ind w:left="927" w:hanging="360"/>
      </w:pPr>
      <w:rPr>
        <w:rFonts w:ascii="Times New Roman" w:hAnsi="Times New Roman" w:hint="default"/>
      </w:rPr>
    </w:lvl>
  </w:abstractNum>
  <w:abstractNum w:abstractNumId="6">
    <w:nsid w:val="15923C47"/>
    <w:multiLevelType w:val="hybridMultilevel"/>
    <w:tmpl w:val="633C7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9C3F49"/>
    <w:multiLevelType w:val="hybridMultilevel"/>
    <w:tmpl w:val="2E7248A6"/>
    <w:lvl w:ilvl="0" w:tplc="161CAD52">
      <w:start w:val="1"/>
      <w:numFmt w:val="bullet"/>
      <w:lvlText w:val=""/>
      <w:lvlJc w:val="left"/>
      <w:pPr>
        <w:ind w:left="1287" w:hanging="360"/>
      </w:pPr>
      <w:rPr>
        <w:rFonts w:ascii="Wingdings" w:hAnsi="Wingdings" w:hint="default"/>
        <w:b w:val="0"/>
        <w:i w:val="0"/>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161E3FC5"/>
    <w:multiLevelType w:val="hybridMultilevel"/>
    <w:tmpl w:val="5EC051AA"/>
    <w:lvl w:ilvl="0" w:tplc="C4AEDB3E">
      <w:start w:val="1"/>
      <w:numFmt w:val="decimal"/>
      <w:lvlText w:val="%1."/>
      <w:lvlJc w:val="left"/>
      <w:pPr>
        <w:tabs>
          <w:tab w:val="num" w:pos="1065"/>
        </w:tabs>
        <w:ind w:left="1065" w:hanging="360"/>
      </w:pPr>
      <w:rPr>
        <w:rFonts w:cs="Times New Roman" w:hint="default"/>
        <w:u w:val="none"/>
      </w:rPr>
    </w:lvl>
    <w:lvl w:ilvl="1" w:tplc="610C64DE">
      <w:start w:val="1"/>
      <w:numFmt w:val="bullet"/>
      <w:lvlText w:val="-"/>
      <w:lvlJc w:val="left"/>
      <w:pPr>
        <w:tabs>
          <w:tab w:val="num" w:pos="1785"/>
        </w:tabs>
        <w:ind w:left="1785" w:hanging="360"/>
      </w:pPr>
      <w:rPr>
        <w:rFonts w:ascii="Times New Roman" w:eastAsia="Times New Roman" w:hAnsi="Times New Roman" w:hint="default"/>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9">
    <w:nsid w:val="17A667CA"/>
    <w:multiLevelType w:val="hybridMultilevel"/>
    <w:tmpl w:val="1DD6F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D554AC"/>
    <w:multiLevelType w:val="hybridMultilevel"/>
    <w:tmpl w:val="3EF25B36"/>
    <w:lvl w:ilvl="0" w:tplc="783609F6">
      <w:start w:val="1"/>
      <w:numFmt w:val="bullet"/>
      <w:lvlText w:val=""/>
      <w:lvlJc w:val="left"/>
      <w:pPr>
        <w:tabs>
          <w:tab w:val="num" w:pos="1287"/>
        </w:tabs>
        <w:ind w:left="1287" w:hanging="360"/>
      </w:pPr>
      <w:rPr>
        <w:rFonts w:ascii="Symbol" w:hAnsi="Symbol" w:hint="default"/>
      </w:rPr>
    </w:lvl>
    <w:lvl w:ilvl="1" w:tplc="70307C2E" w:tentative="1">
      <w:start w:val="1"/>
      <w:numFmt w:val="bullet"/>
      <w:lvlText w:val="o"/>
      <w:lvlJc w:val="left"/>
      <w:pPr>
        <w:tabs>
          <w:tab w:val="num" w:pos="2007"/>
        </w:tabs>
        <w:ind w:left="2007" w:hanging="360"/>
      </w:pPr>
      <w:rPr>
        <w:rFonts w:ascii="Courier New" w:hAnsi="Courier New" w:hint="default"/>
      </w:rPr>
    </w:lvl>
    <w:lvl w:ilvl="2" w:tplc="98206CE8" w:tentative="1">
      <w:start w:val="1"/>
      <w:numFmt w:val="bullet"/>
      <w:lvlText w:val=""/>
      <w:lvlJc w:val="left"/>
      <w:pPr>
        <w:tabs>
          <w:tab w:val="num" w:pos="2727"/>
        </w:tabs>
        <w:ind w:left="2727" w:hanging="360"/>
      </w:pPr>
      <w:rPr>
        <w:rFonts w:ascii="Wingdings" w:hAnsi="Wingdings" w:hint="default"/>
      </w:rPr>
    </w:lvl>
    <w:lvl w:ilvl="3" w:tplc="665C66C2" w:tentative="1">
      <w:start w:val="1"/>
      <w:numFmt w:val="bullet"/>
      <w:lvlText w:val=""/>
      <w:lvlJc w:val="left"/>
      <w:pPr>
        <w:tabs>
          <w:tab w:val="num" w:pos="3447"/>
        </w:tabs>
        <w:ind w:left="3447" w:hanging="360"/>
      </w:pPr>
      <w:rPr>
        <w:rFonts w:ascii="Symbol" w:hAnsi="Symbol" w:hint="default"/>
      </w:rPr>
    </w:lvl>
    <w:lvl w:ilvl="4" w:tplc="A4B07004" w:tentative="1">
      <w:start w:val="1"/>
      <w:numFmt w:val="bullet"/>
      <w:lvlText w:val="o"/>
      <w:lvlJc w:val="left"/>
      <w:pPr>
        <w:tabs>
          <w:tab w:val="num" w:pos="4167"/>
        </w:tabs>
        <w:ind w:left="4167" w:hanging="360"/>
      </w:pPr>
      <w:rPr>
        <w:rFonts w:ascii="Courier New" w:hAnsi="Courier New" w:hint="default"/>
      </w:rPr>
    </w:lvl>
    <w:lvl w:ilvl="5" w:tplc="CF242ACE" w:tentative="1">
      <w:start w:val="1"/>
      <w:numFmt w:val="bullet"/>
      <w:lvlText w:val=""/>
      <w:lvlJc w:val="left"/>
      <w:pPr>
        <w:tabs>
          <w:tab w:val="num" w:pos="4887"/>
        </w:tabs>
        <w:ind w:left="4887" w:hanging="360"/>
      </w:pPr>
      <w:rPr>
        <w:rFonts w:ascii="Wingdings" w:hAnsi="Wingdings" w:hint="default"/>
      </w:rPr>
    </w:lvl>
    <w:lvl w:ilvl="6" w:tplc="A8A09818" w:tentative="1">
      <w:start w:val="1"/>
      <w:numFmt w:val="bullet"/>
      <w:lvlText w:val=""/>
      <w:lvlJc w:val="left"/>
      <w:pPr>
        <w:tabs>
          <w:tab w:val="num" w:pos="5607"/>
        </w:tabs>
        <w:ind w:left="5607" w:hanging="360"/>
      </w:pPr>
      <w:rPr>
        <w:rFonts w:ascii="Symbol" w:hAnsi="Symbol" w:hint="default"/>
      </w:rPr>
    </w:lvl>
    <w:lvl w:ilvl="7" w:tplc="75FE17CE" w:tentative="1">
      <w:start w:val="1"/>
      <w:numFmt w:val="bullet"/>
      <w:lvlText w:val="o"/>
      <w:lvlJc w:val="left"/>
      <w:pPr>
        <w:tabs>
          <w:tab w:val="num" w:pos="6327"/>
        </w:tabs>
        <w:ind w:left="6327" w:hanging="360"/>
      </w:pPr>
      <w:rPr>
        <w:rFonts w:ascii="Courier New" w:hAnsi="Courier New" w:hint="default"/>
      </w:rPr>
    </w:lvl>
    <w:lvl w:ilvl="8" w:tplc="A10CB9DC" w:tentative="1">
      <w:start w:val="1"/>
      <w:numFmt w:val="bullet"/>
      <w:lvlText w:val=""/>
      <w:lvlJc w:val="left"/>
      <w:pPr>
        <w:tabs>
          <w:tab w:val="num" w:pos="7047"/>
        </w:tabs>
        <w:ind w:left="7047" w:hanging="360"/>
      </w:pPr>
      <w:rPr>
        <w:rFonts w:ascii="Wingdings" w:hAnsi="Wingdings" w:hint="default"/>
      </w:rPr>
    </w:lvl>
  </w:abstractNum>
  <w:abstractNum w:abstractNumId="11">
    <w:nsid w:val="197B36CF"/>
    <w:multiLevelType w:val="hybridMultilevel"/>
    <w:tmpl w:val="75C6D2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E5321A"/>
    <w:multiLevelType w:val="hybridMultilevel"/>
    <w:tmpl w:val="09CAC9B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1EB958C8"/>
    <w:multiLevelType w:val="hybridMultilevel"/>
    <w:tmpl w:val="483444C2"/>
    <w:lvl w:ilvl="0" w:tplc="A26C9D4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4">
    <w:nsid w:val="1F902100"/>
    <w:multiLevelType w:val="hybridMultilevel"/>
    <w:tmpl w:val="5D8C5E42"/>
    <w:lvl w:ilvl="0" w:tplc="C7C44480">
      <w:start w:val="1"/>
      <w:numFmt w:val="lowerLetter"/>
      <w:lvlText w:val="%1)"/>
      <w:lvlJc w:val="left"/>
      <w:pPr>
        <w:ind w:left="2038" w:hanging="360"/>
      </w:pPr>
      <w:rPr>
        <w:rFonts w:cs="Times New Roman" w:hint="default"/>
      </w:rPr>
    </w:lvl>
    <w:lvl w:ilvl="1" w:tplc="0C0A0019" w:tentative="1">
      <w:start w:val="1"/>
      <w:numFmt w:val="lowerLetter"/>
      <w:lvlText w:val="%2."/>
      <w:lvlJc w:val="left"/>
      <w:pPr>
        <w:ind w:left="2279" w:hanging="360"/>
      </w:pPr>
      <w:rPr>
        <w:rFonts w:cs="Times New Roman"/>
      </w:rPr>
    </w:lvl>
    <w:lvl w:ilvl="2" w:tplc="0C0A001B" w:tentative="1">
      <w:start w:val="1"/>
      <w:numFmt w:val="lowerRoman"/>
      <w:lvlText w:val="%3."/>
      <w:lvlJc w:val="right"/>
      <w:pPr>
        <w:ind w:left="2999" w:hanging="180"/>
      </w:pPr>
      <w:rPr>
        <w:rFonts w:cs="Times New Roman"/>
      </w:rPr>
    </w:lvl>
    <w:lvl w:ilvl="3" w:tplc="0C0A000F" w:tentative="1">
      <w:start w:val="1"/>
      <w:numFmt w:val="decimal"/>
      <w:lvlText w:val="%4."/>
      <w:lvlJc w:val="left"/>
      <w:pPr>
        <w:ind w:left="3719" w:hanging="360"/>
      </w:pPr>
      <w:rPr>
        <w:rFonts w:cs="Times New Roman"/>
      </w:rPr>
    </w:lvl>
    <w:lvl w:ilvl="4" w:tplc="0C0A0019" w:tentative="1">
      <w:start w:val="1"/>
      <w:numFmt w:val="lowerLetter"/>
      <w:lvlText w:val="%5."/>
      <w:lvlJc w:val="left"/>
      <w:pPr>
        <w:ind w:left="4439" w:hanging="360"/>
      </w:pPr>
      <w:rPr>
        <w:rFonts w:cs="Times New Roman"/>
      </w:rPr>
    </w:lvl>
    <w:lvl w:ilvl="5" w:tplc="0C0A001B" w:tentative="1">
      <w:start w:val="1"/>
      <w:numFmt w:val="lowerRoman"/>
      <w:lvlText w:val="%6."/>
      <w:lvlJc w:val="right"/>
      <w:pPr>
        <w:ind w:left="5159" w:hanging="180"/>
      </w:pPr>
      <w:rPr>
        <w:rFonts w:cs="Times New Roman"/>
      </w:rPr>
    </w:lvl>
    <w:lvl w:ilvl="6" w:tplc="0C0A000F" w:tentative="1">
      <w:start w:val="1"/>
      <w:numFmt w:val="decimal"/>
      <w:lvlText w:val="%7."/>
      <w:lvlJc w:val="left"/>
      <w:pPr>
        <w:ind w:left="5879" w:hanging="360"/>
      </w:pPr>
      <w:rPr>
        <w:rFonts w:cs="Times New Roman"/>
      </w:rPr>
    </w:lvl>
    <w:lvl w:ilvl="7" w:tplc="0C0A0019" w:tentative="1">
      <w:start w:val="1"/>
      <w:numFmt w:val="lowerLetter"/>
      <w:lvlText w:val="%8."/>
      <w:lvlJc w:val="left"/>
      <w:pPr>
        <w:ind w:left="6599" w:hanging="360"/>
      </w:pPr>
      <w:rPr>
        <w:rFonts w:cs="Times New Roman"/>
      </w:rPr>
    </w:lvl>
    <w:lvl w:ilvl="8" w:tplc="0C0A001B" w:tentative="1">
      <w:start w:val="1"/>
      <w:numFmt w:val="lowerRoman"/>
      <w:lvlText w:val="%9."/>
      <w:lvlJc w:val="right"/>
      <w:pPr>
        <w:ind w:left="7319" w:hanging="180"/>
      </w:pPr>
      <w:rPr>
        <w:rFonts w:cs="Times New Roman"/>
      </w:rPr>
    </w:lvl>
  </w:abstractNum>
  <w:abstractNum w:abstractNumId="15">
    <w:nsid w:val="2386170C"/>
    <w:multiLevelType w:val="hybridMultilevel"/>
    <w:tmpl w:val="9D3EF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2D79F2"/>
    <w:multiLevelType w:val="hybridMultilevel"/>
    <w:tmpl w:val="2C3A1256"/>
    <w:lvl w:ilvl="0" w:tplc="161CAD52">
      <w:start w:val="1"/>
      <w:numFmt w:val="bullet"/>
      <w:lvlText w:val=""/>
      <w:lvlJc w:val="left"/>
      <w:pPr>
        <w:ind w:left="720" w:hanging="360"/>
      </w:pPr>
      <w:rPr>
        <w:rFonts w:ascii="Wingdings" w:hAnsi="Wingdings" w:hint="default"/>
        <w:b w:val="0"/>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322D2C"/>
    <w:multiLevelType w:val="hybridMultilevel"/>
    <w:tmpl w:val="625E2C3A"/>
    <w:lvl w:ilvl="0" w:tplc="292ABD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3926BE"/>
    <w:multiLevelType w:val="hybridMultilevel"/>
    <w:tmpl w:val="953A7F38"/>
    <w:lvl w:ilvl="0" w:tplc="E8129B5C">
      <w:start w:val="1"/>
      <w:numFmt w:val="decimal"/>
      <w:lvlText w:val="%1)"/>
      <w:lvlJc w:val="left"/>
      <w:pPr>
        <w:ind w:left="630" w:hanging="360"/>
      </w:pPr>
      <w:rPr>
        <w:rFonts w:cs="Times New Roman" w:hint="default"/>
      </w:rPr>
    </w:lvl>
    <w:lvl w:ilvl="1" w:tplc="0C0A0019" w:tentative="1">
      <w:start w:val="1"/>
      <w:numFmt w:val="lowerLetter"/>
      <w:lvlText w:val="%2."/>
      <w:lvlJc w:val="left"/>
      <w:pPr>
        <w:ind w:left="1350" w:hanging="360"/>
      </w:pPr>
      <w:rPr>
        <w:rFonts w:cs="Times New Roman"/>
      </w:rPr>
    </w:lvl>
    <w:lvl w:ilvl="2" w:tplc="0C0A001B" w:tentative="1">
      <w:start w:val="1"/>
      <w:numFmt w:val="lowerRoman"/>
      <w:lvlText w:val="%3."/>
      <w:lvlJc w:val="right"/>
      <w:pPr>
        <w:ind w:left="2070" w:hanging="180"/>
      </w:pPr>
      <w:rPr>
        <w:rFonts w:cs="Times New Roman"/>
      </w:rPr>
    </w:lvl>
    <w:lvl w:ilvl="3" w:tplc="0C0A000F" w:tentative="1">
      <w:start w:val="1"/>
      <w:numFmt w:val="decimal"/>
      <w:lvlText w:val="%4."/>
      <w:lvlJc w:val="left"/>
      <w:pPr>
        <w:ind w:left="2790" w:hanging="360"/>
      </w:pPr>
      <w:rPr>
        <w:rFonts w:cs="Times New Roman"/>
      </w:rPr>
    </w:lvl>
    <w:lvl w:ilvl="4" w:tplc="0C0A0019" w:tentative="1">
      <w:start w:val="1"/>
      <w:numFmt w:val="lowerLetter"/>
      <w:lvlText w:val="%5."/>
      <w:lvlJc w:val="left"/>
      <w:pPr>
        <w:ind w:left="3510" w:hanging="360"/>
      </w:pPr>
      <w:rPr>
        <w:rFonts w:cs="Times New Roman"/>
      </w:rPr>
    </w:lvl>
    <w:lvl w:ilvl="5" w:tplc="0C0A001B" w:tentative="1">
      <w:start w:val="1"/>
      <w:numFmt w:val="lowerRoman"/>
      <w:lvlText w:val="%6."/>
      <w:lvlJc w:val="right"/>
      <w:pPr>
        <w:ind w:left="4230" w:hanging="180"/>
      </w:pPr>
      <w:rPr>
        <w:rFonts w:cs="Times New Roman"/>
      </w:rPr>
    </w:lvl>
    <w:lvl w:ilvl="6" w:tplc="0C0A000F" w:tentative="1">
      <w:start w:val="1"/>
      <w:numFmt w:val="decimal"/>
      <w:lvlText w:val="%7."/>
      <w:lvlJc w:val="left"/>
      <w:pPr>
        <w:ind w:left="4950" w:hanging="360"/>
      </w:pPr>
      <w:rPr>
        <w:rFonts w:cs="Times New Roman"/>
      </w:rPr>
    </w:lvl>
    <w:lvl w:ilvl="7" w:tplc="0C0A0019" w:tentative="1">
      <w:start w:val="1"/>
      <w:numFmt w:val="lowerLetter"/>
      <w:lvlText w:val="%8."/>
      <w:lvlJc w:val="left"/>
      <w:pPr>
        <w:ind w:left="5670" w:hanging="360"/>
      </w:pPr>
      <w:rPr>
        <w:rFonts w:cs="Times New Roman"/>
      </w:rPr>
    </w:lvl>
    <w:lvl w:ilvl="8" w:tplc="0C0A001B" w:tentative="1">
      <w:start w:val="1"/>
      <w:numFmt w:val="lowerRoman"/>
      <w:lvlText w:val="%9."/>
      <w:lvlJc w:val="right"/>
      <w:pPr>
        <w:ind w:left="6390" w:hanging="180"/>
      </w:pPr>
      <w:rPr>
        <w:rFonts w:cs="Times New Roman"/>
      </w:rPr>
    </w:lvl>
  </w:abstractNum>
  <w:abstractNum w:abstractNumId="19">
    <w:nsid w:val="32011A44"/>
    <w:multiLevelType w:val="hybridMultilevel"/>
    <w:tmpl w:val="ACA8559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36D97049"/>
    <w:multiLevelType w:val="hybridMultilevel"/>
    <w:tmpl w:val="BFBE7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3CA545AB"/>
    <w:multiLevelType w:val="hybridMultilevel"/>
    <w:tmpl w:val="C59695FA"/>
    <w:lvl w:ilvl="0" w:tplc="C7C44480">
      <w:start w:val="1"/>
      <w:numFmt w:val="lowerLetter"/>
      <w:lvlText w:val="%1)"/>
      <w:lvlJc w:val="left"/>
      <w:pPr>
        <w:ind w:left="2398" w:hanging="360"/>
      </w:pPr>
      <w:rPr>
        <w:rFonts w:cs="Times New Roman" w:hint="default"/>
      </w:rPr>
    </w:lvl>
    <w:lvl w:ilvl="1" w:tplc="0C0A0019" w:tentative="1">
      <w:start w:val="1"/>
      <w:numFmt w:val="lowerLetter"/>
      <w:lvlText w:val="%2."/>
      <w:lvlJc w:val="left"/>
      <w:pPr>
        <w:ind w:left="2639" w:hanging="360"/>
      </w:pPr>
      <w:rPr>
        <w:rFonts w:cs="Times New Roman"/>
      </w:rPr>
    </w:lvl>
    <w:lvl w:ilvl="2" w:tplc="0C0A001B" w:tentative="1">
      <w:start w:val="1"/>
      <w:numFmt w:val="lowerRoman"/>
      <w:lvlText w:val="%3."/>
      <w:lvlJc w:val="right"/>
      <w:pPr>
        <w:ind w:left="3359" w:hanging="180"/>
      </w:pPr>
      <w:rPr>
        <w:rFonts w:cs="Times New Roman"/>
      </w:rPr>
    </w:lvl>
    <w:lvl w:ilvl="3" w:tplc="0C0A000F" w:tentative="1">
      <w:start w:val="1"/>
      <w:numFmt w:val="decimal"/>
      <w:lvlText w:val="%4."/>
      <w:lvlJc w:val="left"/>
      <w:pPr>
        <w:ind w:left="4079" w:hanging="360"/>
      </w:pPr>
      <w:rPr>
        <w:rFonts w:cs="Times New Roman"/>
      </w:rPr>
    </w:lvl>
    <w:lvl w:ilvl="4" w:tplc="0C0A0019" w:tentative="1">
      <w:start w:val="1"/>
      <w:numFmt w:val="lowerLetter"/>
      <w:lvlText w:val="%5."/>
      <w:lvlJc w:val="left"/>
      <w:pPr>
        <w:ind w:left="4799" w:hanging="360"/>
      </w:pPr>
      <w:rPr>
        <w:rFonts w:cs="Times New Roman"/>
      </w:rPr>
    </w:lvl>
    <w:lvl w:ilvl="5" w:tplc="0C0A001B" w:tentative="1">
      <w:start w:val="1"/>
      <w:numFmt w:val="lowerRoman"/>
      <w:lvlText w:val="%6."/>
      <w:lvlJc w:val="right"/>
      <w:pPr>
        <w:ind w:left="5519" w:hanging="180"/>
      </w:pPr>
      <w:rPr>
        <w:rFonts w:cs="Times New Roman"/>
      </w:rPr>
    </w:lvl>
    <w:lvl w:ilvl="6" w:tplc="0C0A000F" w:tentative="1">
      <w:start w:val="1"/>
      <w:numFmt w:val="decimal"/>
      <w:lvlText w:val="%7."/>
      <w:lvlJc w:val="left"/>
      <w:pPr>
        <w:ind w:left="6239" w:hanging="360"/>
      </w:pPr>
      <w:rPr>
        <w:rFonts w:cs="Times New Roman"/>
      </w:rPr>
    </w:lvl>
    <w:lvl w:ilvl="7" w:tplc="0C0A0019" w:tentative="1">
      <w:start w:val="1"/>
      <w:numFmt w:val="lowerLetter"/>
      <w:lvlText w:val="%8."/>
      <w:lvlJc w:val="left"/>
      <w:pPr>
        <w:ind w:left="6959" w:hanging="360"/>
      </w:pPr>
      <w:rPr>
        <w:rFonts w:cs="Times New Roman"/>
      </w:rPr>
    </w:lvl>
    <w:lvl w:ilvl="8" w:tplc="0C0A001B" w:tentative="1">
      <w:start w:val="1"/>
      <w:numFmt w:val="lowerRoman"/>
      <w:lvlText w:val="%9."/>
      <w:lvlJc w:val="right"/>
      <w:pPr>
        <w:ind w:left="7679" w:hanging="180"/>
      </w:pPr>
      <w:rPr>
        <w:rFonts w:cs="Times New Roman"/>
      </w:rPr>
    </w:lvl>
  </w:abstractNum>
  <w:abstractNum w:abstractNumId="22">
    <w:nsid w:val="3CDA3AE7"/>
    <w:multiLevelType w:val="hybridMultilevel"/>
    <w:tmpl w:val="5498BB02"/>
    <w:lvl w:ilvl="0" w:tplc="DEB69A70">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3">
    <w:nsid w:val="3EF7382C"/>
    <w:multiLevelType w:val="hybridMultilevel"/>
    <w:tmpl w:val="7F2C4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090403"/>
    <w:multiLevelType w:val="hybridMultilevel"/>
    <w:tmpl w:val="DFA098B0"/>
    <w:lvl w:ilvl="0" w:tplc="377ABE56">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F42E43"/>
    <w:multiLevelType w:val="hybridMultilevel"/>
    <w:tmpl w:val="E1121D8A"/>
    <w:lvl w:ilvl="0" w:tplc="F828ABAE">
      <w:start w:val="1"/>
      <w:numFmt w:val="lowerLetter"/>
      <w:lvlText w:val="%1)"/>
      <w:lvlJc w:val="left"/>
      <w:pPr>
        <w:ind w:left="960" w:hanging="360"/>
      </w:pPr>
      <w:rPr>
        <w:rFonts w:cs="Times New Roman" w:hint="default"/>
      </w:rPr>
    </w:lvl>
    <w:lvl w:ilvl="1" w:tplc="0C0A0019" w:tentative="1">
      <w:start w:val="1"/>
      <w:numFmt w:val="lowerLetter"/>
      <w:lvlText w:val="%2."/>
      <w:lvlJc w:val="left"/>
      <w:pPr>
        <w:ind w:left="1680" w:hanging="360"/>
      </w:pPr>
      <w:rPr>
        <w:rFonts w:cs="Times New Roman"/>
      </w:rPr>
    </w:lvl>
    <w:lvl w:ilvl="2" w:tplc="0C0A001B" w:tentative="1">
      <w:start w:val="1"/>
      <w:numFmt w:val="lowerRoman"/>
      <w:lvlText w:val="%3."/>
      <w:lvlJc w:val="right"/>
      <w:pPr>
        <w:ind w:left="2400" w:hanging="180"/>
      </w:pPr>
      <w:rPr>
        <w:rFonts w:cs="Times New Roman"/>
      </w:rPr>
    </w:lvl>
    <w:lvl w:ilvl="3" w:tplc="0C0A000F" w:tentative="1">
      <w:start w:val="1"/>
      <w:numFmt w:val="decimal"/>
      <w:lvlText w:val="%4."/>
      <w:lvlJc w:val="left"/>
      <w:pPr>
        <w:ind w:left="3120" w:hanging="360"/>
      </w:pPr>
      <w:rPr>
        <w:rFonts w:cs="Times New Roman"/>
      </w:rPr>
    </w:lvl>
    <w:lvl w:ilvl="4" w:tplc="0C0A0019" w:tentative="1">
      <w:start w:val="1"/>
      <w:numFmt w:val="lowerLetter"/>
      <w:lvlText w:val="%5."/>
      <w:lvlJc w:val="left"/>
      <w:pPr>
        <w:ind w:left="3840" w:hanging="360"/>
      </w:pPr>
      <w:rPr>
        <w:rFonts w:cs="Times New Roman"/>
      </w:rPr>
    </w:lvl>
    <w:lvl w:ilvl="5" w:tplc="0C0A001B" w:tentative="1">
      <w:start w:val="1"/>
      <w:numFmt w:val="lowerRoman"/>
      <w:lvlText w:val="%6."/>
      <w:lvlJc w:val="right"/>
      <w:pPr>
        <w:ind w:left="4560" w:hanging="180"/>
      </w:pPr>
      <w:rPr>
        <w:rFonts w:cs="Times New Roman"/>
      </w:rPr>
    </w:lvl>
    <w:lvl w:ilvl="6" w:tplc="0C0A000F" w:tentative="1">
      <w:start w:val="1"/>
      <w:numFmt w:val="decimal"/>
      <w:lvlText w:val="%7."/>
      <w:lvlJc w:val="left"/>
      <w:pPr>
        <w:ind w:left="5280" w:hanging="360"/>
      </w:pPr>
      <w:rPr>
        <w:rFonts w:cs="Times New Roman"/>
      </w:rPr>
    </w:lvl>
    <w:lvl w:ilvl="7" w:tplc="0C0A0019" w:tentative="1">
      <w:start w:val="1"/>
      <w:numFmt w:val="lowerLetter"/>
      <w:lvlText w:val="%8."/>
      <w:lvlJc w:val="left"/>
      <w:pPr>
        <w:ind w:left="6000" w:hanging="360"/>
      </w:pPr>
      <w:rPr>
        <w:rFonts w:cs="Times New Roman"/>
      </w:rPr>
    </w:lvl>
    <w:lvl w:ilvl="8" w:tplc="0C0A001B" w:tentative="1">
      <w:start w:val="1"/>
      <w:numFmt w:val="lowerRoman"/>
      <w:lvlText w:val="%9."/>
      <w:lvlJc w:val="right"/>
      <w:pPr>
        <w:ind w:left="6720" w:hanging="180"/>
      </w:pPr>
      <w:rPr>
        <w:rFonts w:cs="Times New Roman"/>
      </w:rPr>
    </w:lvl>
  </w:abstractNum>
  <w:abstractNum w:abstractNumId="26">
    <w:nsid w:val="4CD432E2"/>
    <w:multiLevelType w:val="hybridMultilevel"/>
    <w:tmpl w:val="8D6AC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814BA4"/>
    <w:multiLevelType w:val="hybridMultilevel"/>
    <w:tmpl w:val="49C6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BE5571"/>
    <w:multiLevelType w:val="hybridMultilevel"/>
    <w:tmpl w:val="02A605AE"/>
    <w:lvl w:ilvl="0" w:tplc="B0B24E16">
      <w:start w:val="1"/>
      <w:numFmt w:val="lowerLetter"/>
      <w:lvlText w:val="%1)"/>
      <w:lvlJc w:val="left"/>
      <w:pPr>
        <w:ind w:left="600" w:hanging="36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abstractNum w:abstractNumId="29">
    <w:nsid w:val="523A3B30"/>
    <w:multiLevelType w:val="hybridMultilevel"/>
    <w:tmpl w:val="076886B6"/>
    <w:lvl w:ilvl="0" w:tplc="0C0A000F">
      <w:start w:val="1"/>
      <w:numFmt w:val="decimal"/>
      <w:lvlText w:val="%1."/>
      <w:lvlJc w:val="left"/>
      <w:pPr>
        <w:tabs>
          <w:tab w:val="num" w:pos="502"/>
        </w:tabs>
        <w:ind w:left="502" w:hanging="360"/>
      </w:pPr>
      <w:rPr>
        <w:rFonts w:cs="Times New Roman"/>
      </w:rPr>
    </w:lvl>
    <w:lvl w:ilvl="1" w:tplc="27544692" w:tentative="1">
      <w:start w:val="1"/>
      <w:numFmt w:val="lowerLetter"/>
      <w:lvlText w:val="%2."/>
      <w:lvlJc w:val="left"/>
      <w:pPr>
        <w:tabs>
          <w:tab w:val="num" w:pos="2291"/>
        </w:tabs>
        <w:ind w:left="2291" w:hanging="360"/>
      </w:pPr>
      <w:rPr>
        <w:rFonts w:cs="Times New Roman"/>
      </w:rPr>
    </w:lvl>
    <w:lvl w:ilvl="2" w:tplc="DDAA85D6" w:tentative="1">
      <w:start w:val="1"/>
      <w:numFmt w:val="lowerRoman"/>
      <w:lvlText w:val="%3."/>
      <w:lvlJc w:val="right"/>
      <w:pPr>
        <w:tabs>
          <w:tab w:val="num" w:pos="3011"/>
        </w:tabs>
        <w:ind w:left="3011" w:hanging="180"/>
      </w:pPr>
      <w:rPr>
        <w:rFonts w:cs="Times New Roman"/>
      </w:rPr>
    </w:lvl>
    <w:lvl w:ilvl="3" w:tplc="0734AC30" w:tentative="1">
      <w:start w:val="1"/>
      <w:numFmt w:val="decimal"/>
      <w:lvlText w:val="%4."/>
      <w:lvlJc w:val="left"/>
      <w:pPr>
        <w:tabs>
          <w:tab w:val="num" w:pos="3731"/>
        </w:tabs>
        <w:ind w:left="3731" w:hanging="360"/>
      </w:pPr>
      <w:rPr>
        <w:rFonts w:cs="Times New Roman"/>
      </w:rPr>
    </w:lvl>
    <w:lvl w:ilvl="4" w:tplc="54FA72D6" w:tentative="1">
      <w:start w:val="1"/>
      <w:numFmt w:val="lowerLetter"/>
      <w:lvlText w:val="%5."/>
      <w:lvlJc w:val="left"/>
      <w:pPr>
        <w:tabs>
          <w:tab w:val="num" w:pos="4451"/>
        </w:tabs>
        <w:ind w:left="4451" w:hanging="360"/>
      </w:pPr>
      <w:rPr>
        <w:rFonts w:cs="Times New Roman"/>
      </w:rPr>
    </w:lvl>
    <w:lvl w:ilvl="5" w:tplc="1F66D93C" w:tentative="1">
      <w:start w:val="1"/>
      <w:numFmt w:val="lowerRoman"/>
      <w:lvlText w:val="%6."/>
      <w:lvlJc w:val="right"/>
      <w:pPr>
        <w:tabs>
          <w:tab w:val="num" w:pos="5171"/>
        </w:tabs>
        <w:ind w:left="5171" w:hanging="180"/>
      </w:pPr>
      <w:rPr>
        <w:rFonts w:cs="Times New Roman"/>
      </w:rPr>
    </w:lvl>
    <w:lvl w:ilvl="6" w:tplc="52A605E4" w:tentative="1">
      <w:start w:val="1"/>
      <w:numFmt w:val="decimal"/>
      <w:lvlText w:val="%7."/>
      <w:lvlJc w:val="left"/>
      <w:pPr>
        <w:tabs>
          <w:tab w:val="num" w:pos="5891"/>
        </w:tabs>
        <w:ind w:left="5891" w:hanging="360"/>
      </w:pPr>
      <w:rPr>
        <w:rFonts w:cs="Times New Roman"/>
      </w:rPr>
    </w:lvl>
    <w:lvl w:ilvl="7" w:tplc="61CE9B9A" w:tentative="1">
      <w:start w:val="1"/>
      <w:numFmt w:val="lowerLetter"/>
      <w:lvlText w:val="%8."/>
      <w:lvlJc w:val="left"/>
      <w:pPr>
        <w:tabs>
          <w:tab w:val="num" w:pos="6611"/>
        </w:tabs>
        <w:ind w:left="6611" w:hanging="360"/>
      </w:pPr>
      <w:rPr>
        <w:rFonts w:cs="Times New Roman"/>
      </w:rPr>
    </w:lvl>
    <w:lvl w:ilvl="8" w:tplc="06DC74C4" w:tentative="1">
      <w:start w:val="1"/>
      <w:numFmt w:val="lowerRoman"/>
      <w:lvlText w:val="%9."/>
      <w:lvlJc w:val="right"/>
      <w:pPr>
        <w:tabs>
          <w:tab w:val="num" w:pos="7331"/>
        </w:tabs>
        <w:ind w:left="7331" w:hanging="180"/>
      </w:pPr>
      <w:rPr>
        <w:rFonts w:cs="Times New Roman"/>
      </w:rPr>
    </w:lvl>
  </w:abstractNum>
  <w:abstractNum w:abstractNumId="30">
    <w:nsid w:val="527C3260"/>
    <w:multiLevelType w:val="hybridMultilevel"/>
    <w:tmpl w:val="3D2ABF7C"/>
    <w:lvl w:ilvl="0" w:tplc="C7C44480">
      <w:start w:val="1"/>
      <w:numFmt w:val="lowerLetter"/>
      <w:lvlText w:val="%1)"/>
      <w:lvlJc w:val="left"/>
      <w:pPr>
        <w:ind w:left="1199" w:hanging="360"/>
      </w:pPr>
      <w:rPr>
        <w:rFonts w:cs="Times New Roman" w:hint="default"/>
      </w:rPr>
    </w:lvl>
    <w:lvl w:ilvl="1" w:tplc="0C0A0019" w:tentative="1">
      <w:start w:val="1"/>
      <w:numFmt w:val="lowerLetter"/>
      <w:lvlText w:val="%2."/>
      <w:lvlJc w:val="left"/>
      <w:pPr>
        <w:ind w:left="1919" w:hanging="360"/>
      </w:pPr>
      <w:rPr>
        <w:rFonts w:cs="Times New Roman"/>
      </w:rPr>
    </w:lvl>
    <w:lvl w:ilvl="2" w:tplc="0C0A001B" w:tentative="1">
      <w:start w:val="1"/>
      <w:numFmt w:val="lowerRoman"/>
      <w:lvlText w:val="%3."/>
      <w:lvlJc w:val="right"/>
      <w:pPr>
        <w:ind w:left="2639" w:hanging="180"/>
      </w:pPr>
      <w:rPr>
        <w:rFonts w:cs="Times New Roman"/>
      </w:rPr>
    </w:lvl>
    <w:lvl w:ilvl="3" w:tplc="0C0A000F" w:tentative="1">
      <w:start w:val="1"/>
      <w:numFmt w:val="decimal"/>
      <w:lvlText w:val="%4."/>
      <w:lvlJc w:val="left"/>
      <w:pPr>
        <w:ind w:left="3359" w:hanging="360"/>
      </w:pPr>
      <w:rPr>
        <w:rFonts w:cs="Times New Roman"/>
      </w:rPr>
    </w:lvl>
    <w:lvl w:ilvl="4" w:tplc="0C0A0019" w:tentative="1">
      <w:start w:val="1"/>
      <w:numFmt w:val="lowerLetter"/>
      <w:lvlText w:val="%5."/>
      <w:lvlJc w:val="left"/>
      <w:pPr>
        <w:ind w:left="4079" w:hanging="360"/>
      </w:pPr>
      <w:rPr>
        <w:rFonts w:cs="Times New Roman"/>
      </w:rPr>
    </w:lvl>
    <w:lvl w:ilvl="5" w:tplc="0C0A001B" w:tentative="1">
      <w:start w:val="1"/>
      <w:numFmt w:val="lowerRoman"/>
      <w:lvlText w:val="%6."/>
      <w:lvlJc w:val="right"/>
      <w:pPr>
        <w:ind w:left="4799" w:hanging="180"/>
      </w:pPr>
      <w:rPr>
        <w:rFonts w:cs="Times New Roman"/>
      </w:rPr>
    </w:lvl>
    <w:lvl w:ilvl="6" w:tplc="0C0A000F" w:tentative="1">
      <w:start w:val="1"/>
      <w:numFmt w:val="decimal"/>
      <w:lvlText w:val="%7."/>
      <w:lvlJc w:val="left"/>
      <w:pPr>
        <w:ind w:left="5519" w:hanging="360"/>
      </w:pPr>
      <w:rPr>
        <w:rFonts w:cs="Times New Roman"/>
      </w:rPr>
    </w:lvl>
    <w:lvl w:ilvl="7" w:tplc="0C0A0019" w:tentative="1">
      <w:start w:val="1"/>
      <w:numFmt w:val="lowerLetter"/>
      <w:lvlText w:val="%8."/>
      <w:lvlJc w:val="left"/>
      <w:pPr>
        <w:ind w:left="6239" w:hanging="360"/>
      </w:pPr>
      <w:rPr>
        <w:rFonts w:cs="Times New Roman"/>
      </w:rPr>
    </w:lvl>
    <w:lvl w:ilvl="8" w:tplc="0C0A001B" w:tentative="1">
      <w:start w:val="1"/>
      <w:numFmt w:val="lowerRoman"/>
      <w:lvlText w:val="%9."/>
      <w:lvlJc w:val="right"/>
      <w:pPr>
        <w:ind w:left="6959" w:hanging="180"/>
      </w:pPr>
      <w:rPr>
        <w:rFonts w:cs="Times New Roman"/>
      </w:rPr>
    </w:lvl>
  </w:abstractNum>
  <w:abstractNum w:abstractNumId="31">
    <w:nsid w:val="530F377D"/>
    <w:multiLevelType w:val="hybridMultilevel"/>
    <w:tmpl w:val="E03A9DAA"/>
    <w:lvl w:ilvl="0" w:tplc="4E0ED2EA">
      <w:start w:val="3"/>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D01D48"/>
    <w:multiLevelType w:val="singleLevel"/>
    <w:tmpl w:val="27229E28"/>
    <w:lvl w:ilvl="0">
      <w:start w:val="17"/>
      <w:numFmt w:val="bullet"/>
      <w:lvlText w:val="-"/>
      <w:lvlJc w:val="left"/>
      <w:pPr>
        <w:tabs>
          <w:tab w:val="num" w:pos="696"/>
        </w:tabs>
        <w:ind w:left="696" w:hanging="360"/>
      </w:pPr>
      <w:rPr>
        <w:rFonts w:ascii="Times New Roman" w:hAnsi="Times New Roman" w:hint="default"/>
      </w:rPr>
    </w:lvl>
  </w:abstractNum>
  <w:abstractNum w:abstractNumId="33">
    <w:nsid w:val="5A647A30"/>
    <w:multiLevelType w:val="hybridMultilevel"/>
    <w:tmpl w:val="78D27440"/>
    <w:lvl w:ilvl="0" w:tplc="FF1A409E">
      <w:start w:val="1"/>
      <w:numFmt w:val="lowerLetter"/>
      <w:lvlText w:val="%1)"/>
      <w:lvlJc w:val="left"/>
      <w:pPr>
        <w:ind w:left="1392" w:hanging="825"/>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4">
    <w:nsid w:val="5EF10D7E"/>
    <w:multiLevelType w:val="hybridMultilevel"/>
    <w:tmpl w:val="BD4C89EC"/>
    <w:lvl w:ilvl="0" w:tplc="F9A256AA">
      <w:start w:val="1"/>
      <w:numFmt w:val="bullet"/>
      <w:lvlText w:val=""/>
      <w:lvlJc w:val="left"/>
      <w:pPr>
        <w:tabs>
          <w:tab w:val="num" w:pos="720"/>
        </w:tabs>
        <w:ind w:left="720" w:hanging="360"/>
      </w:pPr>
      <w:rPr>
        <w:rFonts w:ascii="Symbol" w:hAnsi="Symbol" w:hint="default"/>
        <w:color w:val="auto"/>
        <w:u w:color="005BA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436693"/>
    <w:multiLevelType w:val="hybridMultilevel"/>
    <w:tmpl w:val="B8F04B8C"/>
    <w:lvl w:ilvl="0" w:tplc="0C0A000F">
      <w:start w:val="1"/>
      <w:numFmt w:val="decimal"/>
      <w:lvlText w:val="%1."/>
      <w:lvlJc w:val="left"/>
      <w:pPr>
        <w:ind w:left="1287" w:hanging="360"/>
      </w:pPr>
      <w:rPr>
        <w:rFonts w:cs="Times New Roman"/>
      </w:rPr>
    </w:lvl>
    <w:lvl w:ilvl="1" w:tplc="0C0A0019" w:tentative="1">
      <w:start w:val="1"/>
      <w:numFmt w:val="lowerLetter"/>
      <w:lvlText w:val="%2."/>
      <w:lvlJc w:val="left"/>
      <w:pPr>
        <w:ind w:left="2007" w:hanging="360"/>
      </w:pPr>
      <w:rPr>
        <w:rFonts w:cs="Times New Roman"/>
      </w:rPr>
    </w:lvl>
    <w:lvl w:ilvl="2" w:tplc="0C0A001B" w:tentative="1">
      <w:start w:val="1"/>
      <w:numFmt w:val="lowerRoman"/>
      <w:lvlText w:val="%3."/>
      <w:lvlJc w:val="right"/>
      <w:pPr>
        <w:ind w:left="2727" w:hanging="180"/>
      </w:pPr>
      <w:rPr>
        <w:rFonts w:cs="Times New Roman"/>
      </w:rPr>
    </w:lvl>
    <w:lvl w:ilvl="3" w:tplc="0C0A000F" w:tentative="1">
      <w:start w:val="1"/>
      <w:numFmt w:val="decimal"/>
      <w:lvlText w:val="%4."/>
      <w:lvlJc w:val="left"/>
      <w:pPr>
        <w:ind w:left="3447" w:hanging="360"/>
      </w:pPr>
      <w:rPr>
        <w:rFonts w:cs="Times New Roman"/>
      </w:rPr>
    </w:lvl>
    <w:lvl w:ilvl="4" w:tplc="0C0A0019" w:tentative="1">
      <w:start w:val="1"/>
      <w:numFmt w:val="lowerLetter"/>
      <w:lvlText w:val="%5."/>
      <w:lvlJc w:val="left"/>
      <w:pPr>
        <w:ind w:left="4167" w:hanging="360"/>
      </w:pPr>
      <w:rPr>
        <w:rFonts w:cs="Times New Roman"/>
      </w:rPr>
    </w:lvl>
    <w:lvl w:ilvl="5" w:tplc="0C0A001B" w:tentative="1">
      <w:start w:val="1"/>
      <w:numFmt w:val="lowerRoman"/>
      <w:lvlText w:val="%6."/>
      <w:lvlJc w:val="right"/>
      <w:pPr>
        <w:ind w:left="4887" w:hanging="180"/>
      </w:pPr>
      <w:rPr>
        <w:rFonts w:cs="Times New Roman"/>
      </w:rPr>
    </w:lvl>
    <w:lvl w:ilvl="6" w:tplc="0C0A000F" w:tentative="1">
      <w:start w:val="1"/>
      <w:numFmt w:val="decimal"/>
      <w:lvlText w:val="%7."/>
      <w:lvlJc w:val="left"/>
      <w:pPr>
        <w:ind w:left="5607" w:hanging="360"/>
      </w:pPr>
      <w:rPr>
        <w:rFonts w:cs="Times New Roman"/>
      </w:rPr>
    </w:lvl>
    <w:lvl w:ilvl="7" w:tplc="0C0A0019" w:tentative="1">
      <w:start w:val="1"/>
      <w:numFmt w:val="lowerLetter"/>
      <w:lvlText w:val="%8."/>
      <w:lvlJc w:val="left"/>
      <w:pPr>
        <w:ind w:left="6327" w:hanging="360"/>
      </w:pPr>
      <w:rPr>
        <w:rFonts w:cs="Times New Roman"/>
      </w:rPr>
    </w:lvl>
    <w:lvl w:ilvl="8" w:tplc="0C0A001B" w:tentative="1">
      <w:start w:val="1"/>
      <w:numFmt w:val="lowerRoman"/>
      <w:lvlText w:val="%9."/>
      <w:lvlJc w:val="right"/>
      <w:pPr>
        <w:ind w:left="7047" w:hanging="180"/>
      </w:pPr>
      <w:rPr>
        <w:rFonts w:cs="Times New Roman"/>
      </w:rPr>
    </w:lvl>
  </w:abstractNum>
  <w:abstractNum w:abstractNumId="36">
    <w:nsid w:val="66AE5FF2"/>
    <w:multiLevelType w:val="hybridMultilevel"/>
    <w:tmpl w:val="45EAA2A4"/>
    <w:lvl w:ilvl="0" w:tplc="74460FE2">
      <w:start w:val="21"/>
      <w:numFmt w:val="decimal"/>
      <w:lvlText w:val="%1."/>
      <w:lvlJc w:val="left"/>
      <w:pPr>
        <w:tabs>
          <w:tab w:val="num" w:pos="1571"/>
        </w:tabs>
        <w:ind w:left="1571" w:hanging="360"/>
      </w:pPr>
      <w:rPr>
        <w:rFonts w:cs="Times New Roman" w:hint="default"/>
      </w:rPr>
    </w:lvl>
    <w:lvl w:ilvl="1" w:tplc="27544692" w:tentative="1">
      <w:start w:val="1"/>
      <w:numFmt w:val="lowerLetter"/>
      <w:lvlText w:val="%2."/>
      <w:lvlJc w:val="left"/>
      <w:pPr>
        <w:tabs>
          <w:tab w:val="num" w:pos="2291"/>
        </w:tabs>
        <w:ind w:left="2291" w:hanging="360"/>
      </w:pPr>
      <w:rPr>
        <w:rFonts w:cs="Times New Roman"/>
      </w:rPr>
    </w:lvl>
    <w:lvl w:ilvl="2" w:tplc="DDAA85D6" w:tentative="1">
      <w:start w:val="1"/>
      <w:numFmt w:val="lowerRoman"/>
      <w:lvlText w:val="%3."/>
      <w:lvlJc w:val="right"/>
      <w:pPr>
        <w:tabs>
          <w:tab w:val="num" w:pos="3011"/>
        </w:tabs>
        <w:ind w:left="3011" w:hanging="180"/>
      </w:pPr>
      <w:rPr>
        <w:rFonts w:cs="Times New Roman"/>
      </w:rPr>
    </w:lvl>
    <w:lvl w:ilvl="3" w:tplc="0734AC30" w:tentative="1">
      <w:start w:val="1"/>
      <w:numFmt w:val="decimal"/>
      <w:lvlText w:val="%4."/>
      <w:lvlJc w:val="left"/>
      <w:pPr>
        <w:tabs>
          <w:tab w:val="num" w:pos="3731"/>
        </w:tabs>
        <w:ind w:left="3731" w:hanging="360"/>
      </w:pPr>
      <w:rPr>
        <w:rFonts w:cs="Times New Roman"/>
      </w:rPr>
    </w:lvl>
    <w:lvl w:ilvl="4" w:tplc="54FA72D6" w:tentative="1">
      <w:start w:val="1"/>
      <w:numFmt w:val="lowerLetter"/>
      <w:lvlText w:val="%5."/>
      <w:lvlJc w:val="left"/>
      <w:pPr>
        <w:tabs>
          <w:tab w:val="num" w:pos="4451"/>
        </w:tabs>
        <w:ind w:left="4451" w:hanging="360"/>
      </w:pPr>
      <w:rPr>
        <w:rFonts w:cs="Times New Roman"/>
      </w:rPr>
    </w:lvl>
    <w:lvl w:ilvl="5" w:tplc="1F66D93C" w:tentative="1">
      <w:start w:val="1"/>
      <w:numFmt w:val="lowerRoman"/>
      <w:lvlText w:val="%6."/>
      <w:lvlJc w:val="right"/>
      <w:pPr>
        <w:tabs>
          <w:tab w:val="num" w:pos="5171"/>
        </w:tabs>
        <w:ind w:left="5171" w:hanging="180"/>
      </w:pPr>
      <w:rPr>
        <w:rFonts w:cs="Times New Roman"/>
      </w:rPr>
    </w:lvl>
    <w:lvl w:ilvl="6" w:tplc="52A605E4" w:tentative="1">
      <w:start w:val="1"/>
      <w:numFmt w:val="decimal"/>
      <w:lvlText w:val="%7."/>
      <w:lvlJc w:val="left"/>
      <w:pPr>
        <w:tabs>
          <w:tab w:val="num" w:pos="5891"/>
        </w:tabs>
        <w:ind w:left="5891" w:hanging="360"/>
      </w:pPr>
      <w:rPr>
        <w:rFonts w:cs="Times New Roman"/>
      </w:rPr>
    </w:lvl>
    <w:lvl w:ilvl="7" w:tplc="61CE9B9A" w:tentative="1">
      <w:start w:val="1"/>
      <w:numFmt w:val="lowerLetter"/>
      <w:lvlText w:val="%8."/>
      <w:lvlJc w:val="left"/>
      <w:pPr>
        <w:tabs>
          <w:tab w:val="num" w:pos="6611"/>
        </w:tabs>
        <w:ind w:left="6611" w:hanging="360"/>
      </w:pPr>
      <w:rPr>
        <w:rFonts w:cs="Times New Roman"/>
      </w:rPr>
    </w:lvl>
    <w:lvl w:ilvl="8" w:tplc="06DC74C4" w:tentative="1">
      <w:start w:val="1"/>
      <w:numFmt w:val="lowerRoman"/>
      <w:lvlText w:val="%9."/>
      <w:lvlJc w:val="right"/>
      <w:pPr>
        <w:tabs>
          <w:tab w:val="num" w:pos="7331"/>
        </w:tabs>
        <w:ind w:left="7331" w:hanging="180"/>
      </w:pPr>
      <w:rPr>
        <w:rFonts w:cs="Times New Roman"/>
      </w:rPr>
    </w:lvl>
  </w:abstractNum>
  <w:abstractNum w:abstractNumId="37">
    <w:nsid w:val="6B4A3CFF"/>
    <w:multiLevelType w:val="hybridMultilevel"/>
    <w:tmpl w:val="E626DC7E"/>
    <w:lvl w:ilvl="0" w:tplc="4810FE56">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8">
    <w:nsid w:val="6BFF5448"/>
    <w:multiLevelType w:val="hybridMultilevel"/>
    <w:tmpl w:val="D6089CB6"/>
    <w:lvl w:ilvl="0" w:tplc="71146B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9">
    <w:nsid w:val="6CB06D3E"/>
    <w:multiLevelType w:val="hybridMultilevel"/>
    <w:tmpl w:val="3D881344"/>
    <w:lvl w:ilvl="0" w:tplc="0554E3A8">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6D7E52E4"/>
    <w:multiLevelType w:val="hybridMultilevel"/>
    <w:tmpl w:val="6C28D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8E74DE"/>
    <w:multiLevelType w:val="hybridMultilevel"/>
    <w:tmpl w:val="81F61A3E"/>
    <w:lvl w:ilvl="0" w:tplc="A3300A40">
      <w:start w:val="1"/>
      <w:numFmt w:val="decimal"/>
      <w:lvlText w:val="%1."/>
      <w:lvlJc w:val="left"/>
      <w:pPr>
        <w:tabs>
          <w:tab w:val="num" w:pos="1571"/>
        </w:tabs>
        <w:ind w:left="1571" w:hanging="360"/>
      </w:pPr>
      <w:rPr>
        <w:rFonts w:cs="Times New Roman"/>
      </w:rPr>
    </w:lvl>
    <w:lvl w:ilvl="1" w:tplc="879C0CC4" w:tentative="1">
      <w:start w:val="1"/>
      <w:numFmt w:val="lowerLetter"/>
      <w:lvlText w:val="%2."/>
      <w:lvlJc w:val="left"/>
      <w:pPr>
        <w:tabs>
          <w:tab w:val="num" w:pos="2291"/>
        </w:tabs>
        <w:ind w:left="2291" w:hanging="360"/>
      </w:pPr>
      <w:rPr>
        <w:rFonts w:cs="Times New Roman"/>
      </w:rPr>
    </w:lvl>
    <w:lvl w:ilvl="2" w:tplc="2A1E06A6" w:tentative="1">
      <w:start w:val="1"/>
      <w:numFmt w:val="lowerRoman"/>
      <w:lvlText w:val="%3."/>
      <w:lvlJc w:val="right"/>
      <w:pPr>
        <w:tabs>
          <w:tab w:val="num" w:pos="3011"/>
        </w:tabs>
        <w:ind w:left="3011" w:hanging="180"/>
      </w:pPr>
      <w:rPr>
        <w:rFonts w:cs="Times New Roman"/>
      </w:rPr>
    </w:lvl>
    <w:lvl w:ilvl="3" w:tplc="5D2CE4B8" w:tentative="1">
      <w:start w:val="1"/>
      <w:numFmt w:val="decimal"/>
      <w:lvlText w:val="%4."/>
      <w:lvlJc w:val="left"/>
      <w:pPr>
        <w:tabs>
          <w:tab w:val="num" w:pos="3731"/>
        </w:tabs>
        <w:ind w:left="3731" w:hanging="360"/>
      </w:pPr>
      <w:rPr>
        <w:rFonts w:cs="Times New Roman"/>
      </w:rPr>
    </w:lvl>
    <w:lvl w:ilvl="4" w:tplc="203AA68C" w:tentative="1">
      <w:start w:val="1"/>
      <w:numFmt w:val="lowerLetter"/>
      <w:lvlText w:val="%5."/>
      <w:lvlJc w:val="left"/>
      <w:pPr>
        <w:tabs>
          <w:tab w:val="num" w:pos="4451"/>
        </w:tabs>
        <w:ind w:left="4451" w:hanging="360"/>
      </w:pPr>
      <w:rPr>
        <w:rFonts w:cs="Times New Roman"/>
      </w:rPr>
    </w:lvl>
    <w:lvl w:ilvl="5" w:tplc="C4904748" w:tentative="1">
      <w:start w:val="1"/>
      <w:numFmt w:val="lowerRoman"/>
      <w:lvlText w:val="%6."/>
      <w:lvlJc w:val="right"/>
      <w:pPr>
        <w:tabs>
          <w:tab w:val="num" w:pos="5171"/>
        </w:tabs>
        <w:ind w:left="5171" w:hanging="180"/>
      </w:pPr>
      <w:rPr>
        <w:rFonts w:cs="Times New Roman"/>
      </w:rPr>
    </w:lvl>
    <w:lvl w:ilvl="6" w:tplc="27CE605C" w:tentative="1">
      <w:start w:val="1"/>
      <w:numFmt w:val="decimal"/>
      <w:lvlText w:val="%7."/>
      <w:lvlJc w:val="left"/>
      <w:pPr>
        <w:tabs>
          <w:tab w:val="num" w:pos="5891"/>
        </w:tabs>
        <w:ind w:left="5891" w:hanging="360"/>
      </w:pPr>
      <w:rPr>
        <w:rFonts w:cs="Times New Roman"/>
      </w:rPr>
    </w:lvl>
    <w:lvl w:ilvl="7" w:tplc="0EEE29A4" w:tentative="1">
      <w:start w:val="1"/>
      <w:numFmt w:val="lowerLetter"/>
      <w:lvlText w:val="%8."/>
      <w:lvlJc w:val="left"/>
      <w:pPr>
        <w:tabs>
          <w:tab w:val="num" w:pos="6611"/>
        </w:tabs>
        <w:ind w:left="6611" w:hanging="360"/>
      </w:pPr>
      <w:rPr>
        <w:rFonts w:cs="Times New Roman"/>
      </w:rPr>
    </w:lvl>
    <w:lvl w:ilvl="8" w:tplc="E826A3F2" w:tentative="1">
      <w:start w:val="1"/>
      <w:numFmt w:val="lowerRoman"/>
      <w:lvlText w:val="%9."/>
      <w:lvlJc w:val="right"/>
      <w:pPr>
        <w:tabs>
          <w:tab w:val="num" w:pos="7331"/>
        </w:tabs>
        <w:ind w:left="7331" w:hanging="180"/>
      </w:pPr>
      <w:rPr>
        <w:rFonts w:cs="Times New Roman"/>
      </w:rPr>
    </w:lvl>
  </w:abstractNum>
  <w:abstractNum w:abstractNumId="42">
    <w:nsid w:val="738D2F57"/>
    <w:multiLevelType w:val="hybridMultilevel"/>
    <w:tmpl w:val="B4521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405967"/>
    <w:multiLevelType w:val="hybridMultilevel"/>
    <w:tmpl w:val="B9C06DF6"/>
    <w:lvl w:ilvl="0" w:tplc="936033DA">
      <w:start w:val="1"/>
      <w:numFmt w:val="lowerLetter"/>
      <w:lvlText w:val="%1)"/>
      <w:lvlJc w:val="left"/>
      <w:pPr>
        <w:ind w:left="1199" w:hanging="360"/>
      </w:pPr>
      <w:rPr>
        <w:rFonts w:cs="Times New Roman" w:hint="default"/>
      </w:rPr>
    </w:lvl>
    <w:lvl w:ilvl="1" w:tplc="0C0A0019" w:tentative="1">
      <w:start w:val="1"/>
      <w:numFmt w:val="lowerLetter"/>
      <w:lvlText w:val="%2."/>
      <w:lvlJc w:val="left"/>
      <w:pPr>
        <w:ind w:left="1919" w:hanging="360"/>
      </w:pPr>
      <w:rPr>
        <w:rFonts w:cs="Times New Roman"/>
      </w:rPr>
    </w:lvl>
    <w:lvl w:ilvl="2" w:tplc="0C0A001B" w:tentative="1">
      <w:start w:val="1"/>
      <w:numFmt w:val="lowerRoman"/>
      <w:lvlText w:val="%3."/>
      <w:lvlJc w:val="right"/>
      <w:pPr>
        <w:ind w:left="2639" w:hanging="180"/>
      </w:pPr>
      <w:rPr>
        <w:rFonts w:cs="Times New Roman"/>
      </w:rPr>
    </w:lvl>
    <w:lvl w:ilvl="3" w:tplc="0C0A000F" w:tentative="1">
      <w:start w:val="1"/>
      <w:numFmt w:val="decimal"/>
      <w:lvlText w:val="%4."/>
      <w:lvlJc w:val="left"/>
      <w:pPr>
        <w:ind w:left="3359" w:hanging="360"/>
      </w:pPr>
      <w:rPr>
        <w:rFonts w:cs="Times New Roman"/>
      </w:rPr>
    </w:lvl>
    <w:lvl w:ilvl="4" w:tplc="0C0A0019" w:tentative="1">
      <w:start w:val="1"/>
      <w:numFmt w:val="lowerLetter"/>
      <w:lvlText w:val="%5."/>
      <w:lvlJc w:val="left"/>
      <w:pPr>
        <w:ind w:left="4079" w:hanging="360"/>
      </w:pPr>
      <w:rPr>
        <w:rFonts w:cs="Times New Roman"/>
      </w:rPr>
    </w:lvl>
    <w:lvl w:ilvl="5" w:tplc="0C0A001B" w:tentative="1">
      <w:start w:val="1"/>
      <w:numFmt w:val="lowerRoman"/>
      <w:lvlText w:val="%6."/>
      <w:lvlJc w:val="right"/>
      <w:pPr>
        <w:ind w:left="4799" w:hanging="180"/>
      </w:pPr>
      <w:rPr>
        <w:rFonts w:cs="Times New Roman"/>
      </w:rPr>
    </w:lvl>
    <w:lvl w:ilvl="6" w:tplc="0C0A000F" w:tentative="1">
      <w:start w:val="1"/>
      <w:numFmt w:val="decimal"/>
      <w:lvlText w:val="%7."/>
      <w:lvlJc w:val="left"/>
      <w:pPr>
        <w:ind w:left="5519" w:hanging="360"/>
      </w:pPr>
      <w:rPr>
        <w:rFonts w:cs="Times New Roman"/>
      </w:rPr>
    </w:lvl>
    <w:lvl w:ilvl="7" w:tplc="0C0A0019" w:tentative="1">
      <w:start w:val="1"/>
      <w:numFmt w:val="lowerLetter"/>
      <w:lvlText w:val="%8."/>
      <w:lvlJc w:val="left"/>
      <w:pPr>
        <w:ind w:left="6239" w:hanging="360"/>
      </w:pPr>
      <w:rPr>
        <w:rFonts w:cs="Times New Roman"/>
      </w:rPr>
    </w:lvl>
    <w:lvl w:ilvl="8" w:tplc="0C0A001B" w:tentative="1">
      <w:start w:val="1"/>
      <w:numFmt w:val="lowerRoman"/>
      <w:lvlText w:val="%9."/>
      <w:lvlJc w:val="right"/>
      <w:pPr>
        <w:ind w:left="6959" w:hanging="180"/>
      </w:pPr>
      <w:rPr>
        <w:rFonts w:cs="Times New Roman"/>
      </w:rPr>
    </w:lvl>
  </w:abstractNum>
  <w:abstractNum w:abstractNumId="44">
    <w:nsid w:val="76C65738"/>
    <w:multiLevelType w:val="hybridMultilevel"/>
    <w:tmpl w:val="25EC46B6"/>
    <w:lvl w:ilvl="0" w:tplc="F9A256AA">
      <w:start w:val="1"/>
      <w:numFmt w:val="bullet"/>
      <w:lvlText w:val=""/>
      <w:lvlJc w:val="left"/>
      <w:pPr>
        <w:tabs>
          <w:tab w:val="num" w:pos="720"/>
        </w:tabs>
        <w:ind w:left="720" w:hanging="360"/>
      </w:pPr>
      <w:rPr>
        <w:rFonts w:ascii="Symbol" w:hAnsi="Symbol" w:hint="default"/>
        <w:color w:val="auto"/>
        <w:u w:color="005BA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7176F75"/>
    <w:multiLevelType w:val="hybridMultilevel"/>
    <w:tmpl w:val="998AC648"/>
    <w:lvl w:ilvl="0" w:tplc="623281A8">
      <w:start w:val="3"/>
      <w:numFmt w:val="bullet"/>
      <w:lvlText w:val="-"/>
      <w:lvlJc w:val="left"/>
      <w:pPr>
        <w:ind w:left="1287" w:hanging="360"/>
      </w:pPr>
      <w:rPr>
        <w:rFonts w:ascii="Arial" w:eastAsia="Times New Roman" w:hAnsi="Aria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nsid w:val="785A79DD"/>
    <w:multiLevelType w:val="hybridMultilevel"/>
    <w:tmpl w:val="0BCE1E28"/>
    <w:lvl w:ilvl="0" w:tplc="623281A8">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AF4319C"/>
    <w:multiLevelType w:val="hybridMultilevel"/>
    <w:tmpl w:val="02A605AE"/>
    <w:lvl w:ilvl="0" w:tplc="B0B24E16">
      <w:start w:val="1"/>
      <w:numFmt w:val="lowerLetter"/>
      <w:lvlText w:val="%1)"/>
      <w:lvlJc w:val="left"/>
      <w:pPr>
        <w:ind w:left="600" w:hanging="360"/>
      </w:pPr>
      <w:rPr>
        <w:rFonts w:cs="Times New Roman" w:hint="default"/>
      </w:rPr>
    </w:lvl>
    <w:lvl w:ilvl="1" w:tplc="0C0A0019" w:tentative="1">
      <w:start w:val="1"/>
      <w:numFmt w:val="lowerLetter"/>
      <w:lvlText w:val="%2."/>
      <w:lvlJc w:val="left"/>
      <w:pPr>
        <w:ind w:left="1320" w:hanging="360"/>
      </w:pPr>
      <w:rPr>
        <w:rFonts w:cs="Times New Roman"/>
      </w:rPr>
    </w:lvl>
    <w:lvl w:ilvl="2" w:tplc="0C0A001B" w:tentative="1">
      <w:start w:val="1"/>
      <w:numFmt w:val="lowerRoman"/>
      <w:lvlText w:val="%3."/>
      <w:lvlJc w:val="right"/>
      <w:pPr>
        <w:ind w:left="2040" w:hanging="180"/>
      </w:pPr>
      <w:rPr>
        <w:rFonts w:cs="Times New Roman"/>
      </w:rPr>
    </w:lvl>
    <w:lvl w:ilvl="3" w:tplc="0C0A000F" w:tentative="1">
      <w:start w:val="1"/>
      <w:numFmt w:val="decimal"/>
      <w:lvlText w:val="%4."/>
      <w:lvlJc w:val="left"/>
      <w:pPr>
        <w:ind w:left="2760" w:hanging="360"/>
      </w:pPr>
      <w:rPr>
        <w:rFonts w:cs="Times New Roman"/>
      </w:rPr>
    </w:lvl>
    <w:lvl w:ilvl="4" w:tplc="0C0A0019" w:tentative="1">
      <w:start w:val="1"/>
      <w:numFmt w:val="lowerLetter"/>
      <w:lvlText w:val="%5."/>
      <w:lvlJc w:val="left"/>
      <w:pPr>
        <w:ind w:left="3480" w:hanging="360"/>
      </w:pPr>
      <w:rPr>
        <w:rFonts w:cs="Times New Roman"/>
      </w:rPr>
    </w:lvl>
    <w:lvl w:ilvl="5" w:tplc="0C0A001B" w:tentative="1">
      <w:start w:val="1"/>
      <w:numFmt w:val="lowerRoman"/>
      <w:lvlText w:val="%6."/>
      <w:lvlJc w:val="right"/>
      <w:pPr>
        <w:ind w:left="4200" w:hanging="180"/>
      </w:pPr>
      <w:rPr>
        <w:rFonts w:cs="Times New Roman"/>
      </w:rPr>
    </w:lvl>
    <w:lvl w:ilvl="6" w:tplc="0C0A000F" w:tentative="1">
      <w:start w:val="1"/>
      <w:numFmt w:val="decimal"/>
      <w:lvlText w:val="%7."/>
      <w:lvlJc w:val="left"/>
      <w:pPr>
        <w:ind w:left="4920" w:hanging="360"/>
      </w:pPr>
      <w:rPr>
        <w:rFonts w:cs="Times New Roman"/>
      </w:rPr>
    </w:lvl>
    <w:lvl w:ilvl="7" w:tplc="0C0A0019" w:tentative="1">
      <w:start w:val="1"/>
      <w:numFmt w:val="lowerLetter"/>
      <w:lvlText w:val="%8."/>
      <w:lvlJc w:val="left"/>
      <w:pPr>
        <w:ind w:left="5640" w:hanging="360"/>
      </w:pPr>
      <w:rPr>
        <w:rFonts w:cs="Times New Roman"/>
      </w:rPr>
    </w:lvl>
    <w:lvl w:ilvl="8" w:tplc="0C0A001B" w:tentative="1">
      <w:start w:val="1"/>
      <w:numFmt w:val="lowerRoman"/>
      <w:lvlText w:val="%9."/>
      <w:lvlJc w:val="right"/>
      <w:pPr>
        <w:ind w:left="6360" w:hanging="180"/>
      </w:pPr>
      <w:rPr>
        <w:rFonts w:cs="Times New Roman"/>
      </w:rPr>
    </w:lvl>
  </w:abstractNum>
  <w:num w:numId="1">
    <w:abstractNumId w:val="32"/>
  </w:num>
  <w:num w:numId="2">
    <w:abstractNumId w:val="2"/>
  </w:num>
  <w:num w:numId="3">
    <w:abstractNumId w:val="5"/>
  </w:num>
  <w:num w:numId="4">
    <w:abstractNumId w:val="41"/>
  </w:num>
  <w:num w:numId="5">
    <w:abstractNumId w:val="10"/>
  </w:num>
  <w:num w:numId="6">
    <w:abstractNumId w:val="29"/>
  </w:num>
  <w:num w:numId="7">
    <w:abstractNumId w:val="36"/>
  </w:num>
  <w:num w:numId="8">
    <w:abstractNumId w:val="30"/>
  </w:num>
  <w:num w:numId="9">
    <w:abstractNumId w:val="21"/>
  </w:num>
  <w:num w:numId="10">
    <w:abstractNumId w:val="14"/>
  </w:num>
  <w:num w:numId="11">
    <w:abstractNumId w:val="0"/>
  </w:num>
  <w:num w:numId="12">
    <w:abstractNumId w:val="9"/>
  </w:num>
  <w:num w:numId="13">
    <w:abstractNumId w:val="31"/>
  </w:num>
  <w:num w:numId="14">
    <w:abstractNumId w:val="39"/>
  </w:num>
  <w:num w:numId="15">
    <w:abstractNumId w:val="43"/>
  </w:num>
  <w:num w:numId="16">
    <w:abstractNumId w:val="18"/>
  </w:num>
  <w:num w:numId="17">
    <w:abstractNumId w:val="3"/>
  </w:num>
  <w:num w:numId="18">
    <w:abstractNumId w:val="33"/>
  </w:num>
  <w:num w:numId="19">
    <w:abstractNumId w:val="37"/>
  </w:num>
  <w:num w:numId="20">
    <w:abstractNumId w:val="45"/>
  </w:num>
  <w:num w:numId="21">
    <w:abstractNumId w:val="47"/>
  </w:num>
  <w:num w:numId="22">
    <w:abstractNumId w:val="28"/>
  </w:num>
  <w:num w:numId="23">
    <w:abstractNumId w:val="25"/>
  </w:num>
  <w:num w:numId="24">
    <w:abstractNumId w:val="19"/>
  </w:num>
  <w:num w:numId="25">
    <w:abstractNumId w:val="38"/>
  </w:num>
  <w:num w:numId="26">
    <w:abstractNumId w:val="22"/>
  </w:num>
  <w:num w:numId="27">
    <w:abstractNumId w:val="12"/>
  </w:num>
  <w:num w:numId="28">
    <w:abstractNumId w:val="35"/>
  </w:num>
  <w:num w:numId="29">
    <w:abstractNumId w:val="13"/>
  </w:num>
  <w:num w:numId="30">
    <w:abstractNumId w:val="46"/>
  </w:num>
  <w:num w:numId="31">
    <w:abstractNumId w:val="44"/>
  </w:num>
  <w:num w:numId="32">
    <w:abstractNumId w:val="1"/>
  </w:num>
  <w:num w:numId="33">
    <w:abstractNumId w:val="40"/>
  </w:num>
  <w:num w:numId="34">
    <w:abstractNumId w:val="4"/>
  </w:num>
  <w:num w:numId="35">
    <w:abstractNumId w:val="26"/>
  </w:num>
  <w:num w:numId="36">
    <w:abstractNumId w:val="8"/>
  </w:num>
  <w:num w:numId="37">
    <w:abstractNumId w:val="17"/>
  </w:num>
  <w:num w:numId="38">
    <w:abstractNumId w:val="16"/>
  </w:num>
  <w:num w:numId="39">
    <w:abstractNumId w:val="7"/>
  </w:num>
  <w:num w:numId="40">
    <w:abstractNumId w:val="24"/>
  </w:num>
  <w:num w:numId="41">
    <w:abstractNumId w:val="23"/>
  </w:num>
  <w:num w:numId="42">
    <w:abstractNumId w:val="27"/>
  </w:num>
  <w:num w:numId="43">
    <w:abstractNumId w:val="6"/>
  </w:num>
  <w:num w:numId="44">
    <w:abstractNumId w:val="42"/>
  </w:num>
  <w:num w:numId="45">
    <w:abstractNumId w:val="15"/>
  </w:num>
  <w:num w:numId="46">
    <w:abstractNumId w:val="11"/>
  </w:num>
  <w:num w:numId="47">
    <w:abstractNumId w:val="34"/>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arcia Valbuena">
    <w15:presenceInfo w15:providerId="AD" w15:userId="S::dgarcia@pkf-attest.es::d5c97c93-9d13-45c9-80d9-9a7c30bdaf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4E"/>
    <w:rsid w:val="000004DD"/>
    <w:rsid w:val="00000ADB"/>
    <w:rsid w:val="0000171C"/>
    <w:rsid w:val="00001EEC"/>
    <w:rsid w:val="00005714"/>
    <w:rsid w:val="000066CC"/>
    <w:rsid w:val="000066F6"/>
    <w:rsid w:val="0000777A"/>
    <w:rsid w:val="00007A1B"/>
    <w:rsid w:val="00007BF1"/>
    <w:rsid w:val="00007D56"/>
    <w:rsid w:val="00007F53"/>
    <w:rsid w:val="00010010"/>
    <w:rsid w:val="00010386"/>
    <w:rsid w:val="000111B1"/>
    <w:rsid w:val="000123E8"/>
    <w:rsid w:val="00012DEB"/>
    <w:rsid w:val="00014E63"/>
    <w:rsid w:val="00016767"/>
    <w:rsid w:val="00017D80"/>
    <w:rsid w:val="00017FA1"/>
    <w:rsid w:val="00020284"/>
    <w:rsid w:val="000215DB"/>
    <w:rsid w:val="000226B4"/>
    <w:rsid w:val="000229F3"/>
    <w:rsid w:val="00022BE2"/>
    <w:rsid w:val="000254C9"/>
    <w:rsid w:val="0002562E"/>
    <w:rsid w:val="000258AC"/>
    <w:rsid w:val="00025B9C"/>
    <w:rsid w:val="0002614B"/>
    <w:rsid w:val="0002741D"/>
    <w:rsid w:val="00027BFD"/>
    <w:rsid w:val="000310A4"/>
    <w:rsid w:val="00031AE6"/>
    <w:rsid w:val="00033C5A"/>
    <w:rsid w:val="00035720"/>
    <w:rsid w:val="00035EEB"/>
    <w:rsid w:val="0003675B"/>
    <w:rsid w:val="00036A49"/>
    <w:rsid w:val="00036AD7"/>
    <w:rsid w:val="00037BEA"/>
    <w:rsid w:val="00040131"/>
    <w:rsid w:val="00040ACE"/>
    <w:rsid w:val="000418F6"/>
    <w:rsid w:val="00041B03"/>
    <w:rsid w:val="00042061"/>
    <w:rsid w:val="00042460"/>
    <w:rsid w:val="000427B0"/>
    <w:rsid w:val="00042FAA"/>
    <w:rsid w:val="000431F6"/>
    <w:rsid w:val="00043F47"/>
    <w:rsid w:val="0004542F"/>
    <w:rsid w:val="00045607"/>
    <w:rsid w:val="000463B3"/>
    <w:rsid w:val="000478FB"/>
    <w:rsid w:val="0005193E"/>
    <w:rsid w:val="00051C1E"/>
    <w:rsid w:val="000527EC"/>
    <w:rsid w:val="0005296B"/>
    <w:rsid w:val="00053526"/>
    <w:rsid w:val="00053A8B"/>
    <w:rsid w:val="00054274"/>
    <w:rsid w:val="00054DAD"/>
    <w:rsid w:val="0006012B"/>
    <w:rsid w:val="0006042D"/>
    <w:rsid w:val="00060719"/>
    <w:rsid w:val="00063E12"/>
    <w:rsid w:val="000641E8"/>
    <w:rsid w:val="000644D7"/>
    <w:rsid w:val="0006502C"/>
    <w:rsid w:val="000678EE"/>
    <w:rsid w:val="000702CB"/>
    <w:rsid w:val="000718EF"/>
    <w:rsid w:val="000722CE"/>
    <w:rsid w:val="000727C7"/>
    <w:rsid w:val="000727EC"/>
    <w:rsid w:val="000739AC"/>
    <w:rsid w:val="00073F76"/>
    <w:rsid w:val="000743E4"/>
    <w:rsid w:val="00074822"/>
    <w:rsid w:val="000756CE"/>
    <w:rsid w:val="00075A28"/>
    <w:rsid w:val="000764EC"/>
    <w:rsid w:val="00076AFF"/>
    <w:rsid w:val="000777F3"/>
    <w:rsid w:val="0008067A"/>
    <w:rsid w:val="0008095A"/>
    <w:rsid w:val="0008096E"/>
    <w:rsid w:val="00081016"/>
    <w:rsid w:val="00082A59"/>
    <w:rsid w:val="00083862"/>
    <w:rsid w:val="00084284"/>
    <w:rsid w:val="000846A0"/>
    <w:rsid w:val="00085A15"/>
    <w:rsid w:val="00086230"/>
    <w:rsid w:val="0008654F"/>
    <w:rsid w:val="00086FED"/>
    <w:rsid w:val="00090156"/>
    <w:rsid w:val="00091D0C"/>
    <w:rsid w:val="0009287F"/>
    <w:rsid w:val="00092C80"/>
    <w:rsid w:val="000951EE"/>
    <w:rsid w:val="000956BC"/>
    <w:rsid w:val="000957AE"/>
    <w:rsid w:val="00095F5E"/>
    <w:rsid w:val="00096244"/>
    <w:rsid w:val="000970F5"/>
    <w:rsid w:val="00097129"/>
    <w:rsid w:val="0009714A"/>
    <w:rsid w:val="000A02C0"/>
    <w:rsid w:val="000A1C63"/>
    <w:rsid w:val="000A25C5"/>
    <w:rsid w:val="000A36EF"/>
    <w:rsid w:val="000A4D1E"/>
    <w:rsid w:val="000A6117"/>
    <w:rsid w:val="000A7408"/>
    <w:rsid w:val="000B014D"/>
    <w:rsid w:val="000B0C64"/>
    <w:rsid w:val="000B0FE3"/>
    <w:rsid w:val="000B1672"/>
    <w:rsid w:val="000B1B88"/>
    <w:rsid w:val="000B21A8"/>
    <w:rsid w:val="000B33BC"/>
    <w:rsid w:val="000B3FB9"/>
    <w:rsid w:val="000B4007"/>
    <w:rsid w:val="000B4D58"/>
    <w:rsid w:val="000B4E5A"/>
    <w:rsid w:val="000B7274"/>
    <w:rsid w:val="000B7A4A"/>
    <w:rsid w:val="000B7E8C"/>
    <w:rsid w:val="000C0CCD"/>
    <w:rsid w:val="000C2207"/>
    <w:rsid w:val="000C2904"/>
    <w:rsid w:val="000C5B37"/>
    <w:rsid w:val="000C64D7"/>
    <w:rsid w:val="000C7E80"/>
    <w:rsid w:val="000D040F"/>
    <w:rsid w:val="000D1E92"/>
    <w:rsid w:val="000D22A7"/>
    <w:rsid w:val="000D5595"/>
    <w:rsid w:val="000D575F"/>
    <w:rsid w:val="000D5B06"/>
    <w:rsid w:val="000D6206"/>
    <w:rsid w:val="000E1173"/>
    <w:rsid w:val="000E1CD7"/>
    <w:rsid w:val="000E2236"/>
    <w:rsid w:val="000E2ABD"/>
    <w:rsid w:val="000E2CEB"/>
    <w:rsid w:val="000E3115"/>
    <w:rsid w:val="000E5091"/>
    <w:rsid w:val="000E5A5B"/>
    <w:rsid w:val="000F0015"/>
    <w:rsid w:val="000F0C0E"/>
    <w:rsid w:val="000F18D7"/>
    <w:rsid w:val="000F20FB"/>
    <w:rsid w:val="000F3868"/>
    <w:rsid w:val="000F431A"/>
    <w:rsid w:val="000F4B11"/>
    <w:rsid w:val="000F6325"/>
    <w:rsid w:val="000F7736"/>
    <w:rsid w:val="000F77D4"/>
    <w:rsid w:val="00100B8C"/>
    <w:rsid w:val="00100E68"/>
    <w:rsid w:val="00101A0F"/>
    <w:rsid w:val="00101B1C"/>
    <w:rsid w:val="001020DD"/>
    <w:rsid w:val="00103AB2"/>
    <w:rsid w:val="00103C4B"/>
    <w:rsid w:val="0010422B"/>
    <w:rsid w:val="001057A7"/>
    <w:rsid w:val="001065FC"/>
    <w:rsid w:val="00106C31"/>
    <w:rsid w:val="001074DD"/>
    <w:rsid w:val="001075BB"/>
    <w:rsid w:val="001075DE"/>
    <w:rsid w:val="00107FB6"/>
    <w:rsid w:val="001100C7"/>
    <w:rsid w:val="0011063F"/>
    <w:rsid w:val="001117B2"/>
    <w:rsid w:val="001119A9"/>
    <w:rsid w:val="00112710"/>
    <w:rsid w:val="00112F4F"/>
    <w:rsid w:val="001147B5"/>
    <w:rsid w:val="001151D4"/>
    <w:rsid w:val="00115AD8"/>
    <w:rsid w:val="001200D7"/>
    <w:rsid w:val="00120BA6"/>
    <w:rsid w:val="00121CDF"/>
    <w:rsid w:val="00122592"/>
    <w:rsid w:val="001227B6"/>
    <w:rsid w:val="00124622"/>
    <w:rsid w:val="001274F2"/>
    <w:rsid w:val="00131033"/>
    <w:rsid w:val="00131907"/>
    <w:rsid w:val="00134543"/>
    <w:rsid w:val="001357AF"/>
    <w:rsid w:val="00135D33"/>
    <w:rsid w:val="0013770B"/>
    <w:rsid w:val="00137FC8"/>
    <w:rsid w:val="001405C9"/>
    <w:rsid w:val="00140638"/>
    <w:rsid w:val="0014201D"/>
    <w:rsid w:val="00142527"/>
    <w:rsid w:val="00142A54"/>
    <w:rsid w:val="00142E0A"/>
    <w:rsid w:val="0014350A"/>
    <w:rsid w:val="00143625"/>
    <w:rsid w:val="001437A0"/>
    <w:rsid w:val="001440C8"/>
    <w:rsid w:val="0014494A"/>
    <w:rsid w:val="00145B1E"/>
    <w:rsid w:val="00145BFC"/>
    <w:rsid w:val="00145F08"/>
    <w:rsid w:val="00147592"/>
    <w:rsid w:val="00147795"/>
    <w:rsid w:val="00147D18"/>
    <w:rsid w:val="00151C24"/>
    <w:rsid w:val="00152328"/>
    <w:rsid w:val="00152E5B"/>
    <w:rsid w:val="00154067"/>
    <w:rsid w:val="00154749"/>
    <w:rsid w:val="0015529F"/>
    <w:rsid w:val="001569F8"/>
    <w:rsid w:val="00156B41"/>
    <w:rsid w:val="001640A0"/>
    <w:rsid w:val="00164267"/>
    <w:rsid w:val="00165796"/>
    <w:rsid w:val="00166167"/>
    <w:rsid w:val="00166AC8"/>
    <w:rsid w:val="00166CC8"/>
    <w:rsid w:val="00166F73"/>
    <w:rsid w:val="00167DD7"/>
    <w:rsid w:val="00170187"/>
    <w:rsid w:val="0017055A"/>
    <w:rsid w:val="001705B5"/>
    <w:rsid w:val="001707DA"/>
    <w:rsid w:val="00170C96"/>
    <w:rsid w:val="0017121A"/>
    <w:rsid w:val="001728BB"/>
    <w:rsid w:val="00172907"/>
    <w:rsid w:val="00172A36"/>
    <w:rsid w:val="00172D17"/>
    <w:rsid w:val="00173065"/>
    <w:rsid w:val="0017332D"/>
    <w:rsid w:val="001746B0"/>
    <w:rsid w:val="00174CF4"/>
    <w:rsid w:val="00175C8E"/>
    <w:rsid w:val="001774A8"/>
    <w:rsid w:val="00177F3A"/>
    <w:rsid w:val="001839D6"/>
    <w:rsid w:val="00183C38"/>
    <w:rsid w:val="00184486"/>
    <w:rsid w:val="0018538F"/>
    <w:rsid w:val="00185A48"/>
    <w:rsid w:val="00186C0D"/>
    <w:rsid w:val="00190743"/>
    <w:rsid w:val="00190821"/>
    <w:rsid w:val="001923AA"/>
    <w:rsid w:val="001923C7"/>
    <w:rsid w:val="0019333A"/>
    <w:rsid w:val="0019341B"/>
    <w:rsid w:val="00193866"/>
    <w:rsid w:val="0019396D"/>
    <w:rsid w:val="00193EA6"/>
    <w:rsid w:val="00193ED2"/>
    <w:rsid w:val="00194579"/>
    <w:rsid w:val="00195103"/>
    <w:rsid w:val="00195F1D"/>
    <w:rsid w:val="00196715"/>
    <w:rsid w:val="00196AD1"/>
    <w:rsid w:val="00197AEC"/>
    <w:rsid w:val="001A0DC9"/>
    <w:rsid w:val="001A11B4"/>
    <w:rsid w:val="001A181B"/>
    <w:rsid w:val="001A214E"/>
    <w:rsid w:val="001A296C"/>
    <w:rsid w:val="001A3519"/>
    <w:rsid w:val="001A3588"/>
    <w:rsid w:val="001A3874"/>
    <w:rsid w:val="001A3D65"/>
    <w:rsid w:val="001A3D9D"/>
    <w:rsid w:val="001A51EA"/>
    <w:rsid w:val="001A5968"/>
    <w:rsid w:val="001A7A51"/>
    <w:rsid w:val="001A7F91"/>
    <w:rsid w:val="001B07BB"/>
    <w:rsid w:val="001B0A18"/>
    <w:rsid w:val="001B0C3C"/>
    <w:rsid w:val="001B23D9"/>
    <w:rsid w:val="001B3D86"/>
    <w:rsid w:val="001B459B"/>
    <w:rsid w:val="001B56AB"/>
    <w:rsid w:val="001B5814"/>
    <w:rsid w:val="001B5E93"/>
    <w:rsid w:val="001B5F9F"/>
    <w:rsid w:val="001B7313"/>
    <w:rsid w:val="001B79CE"/>
    <w:rsid w:val="001C130B"/>
    <w:rsid w:val="001C2571"/>
    <w:rsid w:val="001C2B4F"/>
    <w:rsid w:val="001C33CB"/>
    <w:rsid w:val="001C3EA5"/>
    <w:rsid w:val="001C4292"/>
    <w:rsid w:val="001C4716"/>
    <w:rsid w:val="001C4DBB"/>
    <w:rsid w:val="001C56B0"/>
    <w:rsid w:val="001C6835"/>
    <w:rsid w:val="001C6A4F"/>
    <w:rsid w:val="001C6FF9"/>
    <w:rsid w:val="001D046F"/>
    <w:rsid w:val="001D077D"/>
    <w:rsid w:val="001D30D8"/>
    <w:rsid w:val="001D34F5"/>
    <w:rsid w:val="001D3A11"/>
    <w:rsid w:val="001D45DC"/>
    <w:rsid w:val="001D4C29"/>
    <w:rsid w:val="001D597C"/>
    <w:rsid w:val="001D5CDB"/>
    <w:rsid w:val="001D7227"/>
    <w:rsid w:val="001D7411"/>
    <w:rsid w:val="001E1C0D"/>
    <w:rsid w:val="001E47C4"/>
    <w:rsid w:val="001E49E1"/>
    <w:rsid w:val="001E60DB"/>
    <w:rsid w:val="001E6F60"/>
    <w:rsid w:val="001E6F9D"/>
    <w:rsid w:val="001E6FC4"/>
    <w:rsid w:val="001E7096"/>
    <w:rsid w:val="001F1A89"/>
    <w:rsid w:val="001F50D4"/>
    <w:rsid w:val="001F585B"/>
    <w:rsid w:val="001F5A9A"/>
    <w:rsid w:val="001F5E74"/>
    <w:rsid w:val="001F73D1"/>
    <w:rsid w:val="00202F61"/>
    <w:rsid w:val="00203691"/>
    <w:rsid w:val="00203F4F"/>
    <w:rsid w:val="002046C8"/>
    <w:rsid w:val="0020476F"/>
    <w:rsid w:val="002053BE"/>
    <w:rsid w:val="0021014B"/>
    <w:rsid w:val="00210218"/>
    <w:rsid w:val="00210557"/>
    <w:rsid w:val="00210568"/>
    <w:rsid w:val="002128C6"/>
    <w:rsid w:val="002131C5"/>
    <w:rsid w:val="002156F1"/>
    <w:rsid w:val="0021677B"/>
    <w:rsid w:val="002169C0"/>
    <w:rsid w:val="002215F8"/>
    <w:rsid w:val="00221A25"/>
    <w:rsid w:val="00222ECB"/>
    <w:rsid w:val="00223245"/>
    <w:rsid w:val="002244F2"/>
    <w:rsid w:val="00225EC8"/>
    <w:rsid w:val="002264EB"/>
    <w:rsid w:val="00230BC0"/>
    <w:rsid w:val="0023132B"/>
    <w:rsid w:val="00231CE0"/>
    <w:rsid w:val="00231D0A"/>
    <w:rsid w:val="00232987"/>
    <w:rsid w:val="00232BD8"/>
    <w:rsid w:val="002336F1"/>
    <w:rsid w:val="00233DBC"/>
    <w:rsid w:val="0023419D"/>
    <w:rsid w:val="00234277"/>
    <w:rsid w:val="00234EBF"/>
    <w:rsid w:val="00236277"/>
    <w:rsid w:val="00236EA7"/>
    <w:rsid w:val="0024027B"/>
    <w:rsid w:val="002403F5"/>
    <w:rsid w:val="00240A33"/>
    <w:rsid w:val="00241663"/>
    <w:rsid w:val="00241794"/>
    <w:rsid w:val="0024333B"/>
    <w:rsid w:val="002439C2"/>
    <w:rsid w:val="002457AF"/>
    <w:rsid w:val="00245F3C"/>
    <w:rsid w:val="0024692A"/>
    <w:rsid w:val="00246A14"/>
    <w:rsid w:val="00246AE7"/>
    <w:rsid w:val="00247245"/>
    <w:rsid w:val="00250431"/>
    <w:rsid w:val="0025048B"/>
    <w:rsid w:val="00251066"/>
    <w:rsid w:val="00251ED9"/>
    <w:rsid w:val="00252970"/>
    <w:rsid w:val="00253BB9"/>
    <w:rsid w:val="00254C84"/>
    <w:rsid w:val="00255946"/>
    <w:rsid w:val="00255A89"/>
    <w:rsid w:val="00257068"/>
    <w:rsid w:val="00257C85"/>
    <w:rsid w:val="00260753"/>
    <w:rsid w:val="00260F71"/>
    <w:rsid w:val="00262B78"/>
    <w:rsid w:val="00262DFF"/>
    <w:rsid w:val="00263289"/>
    <w:rsid w:val="00264BD3"/>
    <w:rsid w:val="00265BB4"/>
    <w:rsid w:val="00265C65"/>
    <w:rsid w:val="00266425"/>
    <w:rsid w:val="00267889"/>
    <w:rsid w:val="00267FBB"/>
    <w:rsid w:val="00270EF2"/>
    <w:rsid w:val="002724A7"/>
    <w:rsid w:val="00272EFF"/>
    <w:rsid w:val="0027326E"/>
    <w:rsid w:val="00273431"/>
    <w:rsid w:val="00274957"/>
    <w:rsid w:val="00274C2A"/>
    <w:rsid w:val="00274C5E"/>
    <w:rsid w:val="0027500C"/>
    <w:rsid w:val="002764BB"/>
    <w:rsid w:val="0027685B"/>
    <w:rsid w:val="00276E19"/>
    <w:rsid w:val="0028016C"/>
    <w:rsid w:val="00280F4E"/>
    <w:rsid w:val="00282AFF"/>
    <w:rsid w:val="00284600"/>
    <w:rsid w:val="00284D5D"/>
    <w:rsid w:val="00285446"/>
    <w:rsid w:val="00285522"/>
    <w:rsid w:val="002855F6"/>
    <w:rsid w:val="002873C5"/>
    <w:rsid w:val="0029163D"/>
    <w:rsid w:val="00292959"/>
    <w:rsid w:val="00292A02"/>
    <w:rsid w:val="00292C62"/>
    <w:rsid w:val="00293B32"/>
    <w:rsid w:val="0029401E"/>
    <w:rsid w:val="002941D5"/>
    <w:rsid w:val="00294744"/>
    <w:rsid w:val="00294D74"/>
    <w:rsid w:val="00295669"/>
    <w:rsid w:val="002966E5"/>
    <w:rsid w:val="0029728C"/>
    <w:rsid w:val="002973BA"/>
    <w:rsid w:val="00297D70"/>
    <w:rsid w:val="002A051C"/>
    <w:rsid w:val="002A09BE"/>
    <w:rsid w:val="002A0A63"/>
    <w:rsid w:val="002A1529"/>
    <w:rsid w:val="002A1AEF"/>
    <w:rsid w:val="002A1B3B"/>
    <w:rsid w:val="002A2AA1"/>
    <w:rsid w:val="002A2F8A"/>
    <w:rsid w:val="002A3179"/>
    <w:rsid w:val="002A3408"/>
    <w:rsid w:val="002A36D3"/>
    <w:rsid w:val="002A412B"/>
    <w:rsid w:val="002A549E"/>
    <w:rsid w:val="002A59B1"/>
    <w:rsid w:val="002A6B4C"/>
    <w:rsid w:val="002A7DAF"/>
    <w:rsid w:val="002A7F85"/>
    <w:rsid w:val="002B1CE7"/>
    <w:rsid w:val="002B24F8"/>
    <w:rsid w:val="002B266B"/>
    <w:rsid w:val="002B2B3F"/>
    <w:rsid w:val="002B4CB1"/>
    <w:rsid w:val="002B5518"/>
    <w:rsid w:val="002B5B72"/>
    <w:rsid w:val="002B640A"/>
    <w:rsid w:val="002B6767"/>
    <w:rsid w:val="002B7333"/>
    <w:rsid w:val="002B7AFF"/>
    <w:rsid w:val="002C0DD5"/>
    <w:rsid w:val="002C0F22"/>
    <w:rsid w:val="002C1935"/>
    <w:rsid w:val="002C2C0F"/>
    <w:rsid w:val="002C3673"/>
    <w:rsid w:val="002C4C6B"/>
    <w:rsid w:val="002C4CB5"/>
    <w:rsid w:val="002C4E1D"/>
    <w:rsid w:val="002C556E"/>
    <w:rsid w:val="002C731B"/>
    <w:rsid w:val="002D05C5"/>
    <w:rsid w:val="002D0A68"/>
    <w:rsid w:val="002D1CEC"/>
    <w:rsid w:val="002D24F1"/>
    <w:rsid w:val="002D2B52"/>
    <w:rsid w:val="002D3D42"/>
    <w:rsid w:val="002D41D7"/>
    <w:rsid w:val="002D431E"/>
    <w:rsid w:val="002D4CF4"/>
    <w:rsid w:val="002D5F0A"/>
    <w:rsid w:val="002D6D11"/>
    <w:rsid w:val="002D71D7"/>
    <w:rsid w:val="002D77B8"/>
    <w:rsid w:val="002E0BE3"/>
    <w:rsid w:val="002E18FA"/>
    <w:rsid w:val="002E1D2A"/>
    <w:rsid w:val="002E22F3"/>
    <w:rsid w:val="002E28F7"/>
    <w:rsid w:val="002E640A"/>
    <w:rsid w:val="002E664D"/>
    <w:rsid w:val="002E6DD9"/>
    <w:rsid w:val="002E7612"/>
    <w:rsid w:val="002F072F"/>
    <w:rsid w:val="002F2F3D"/>
    <w:rsid w:val="002F5A69"/>
    <w:rsid w:val="002F5B6A"/>
    <w:rsid w:val="002F6B6B"/>
    <w:rsid w:val="002F6D31"/>
    <w:rsid w:val="002F7BD1"/>
    <w:rsid w:val="002F7F2D"/>
    <w:rsid w:val="003007B5"/>
    <w:rsid w:val="00300809"/>
    <w:rsid w:val="003019D9"/>
    <w:rsid w:val="003022EF"/>
    <w:rsid w:val="00302C34"/>
    <w:rsid w:val="00302FA7"/>
    <w:rsid w:val="0030327A"/>
    <w:rsid w:val="003036DB"/>
    <w:rsid w:val="003044A9"/>
    <w:rsid w:val="00305469"/>
    <w:rsid w:val="003058BB"/>
    <w:rsid w:val="00305939"/>
    <w:rsid w:val="0030619D"/>
    <w:rsid w:val="003062E9"/>
    <w:rsid w:val="003113A6"/>
    <w:rsid w:val="00312501"/>
    <w:rsid w:val="00313B81"/>
    <w:rsid w:val="00313D40"/>
    <w:rsid w:val="00315684"/>
    <w:rsid w:val="003162AD"/>
    <w:rsid w:val="00317EFA"/>
    <w:rsid w:val="00320E59"/>
    <w:rsid w:val="0032109A"/>
    <w:rsid w:val="00321680"/>
    <w:rsid w:val="003217EB"/>
    <w:rsid w:val="00321AD3"/>
    <w:rsid w:val="0032244D"/>
    <w:rsid w:val="00323341"/>
    <w:rsid w:val="0032374C"/>
    <w:rsid w:val="00326D4B"/>
    <w:rsid w:val="00327E7D"/>
    <w:rsid w:val="00331A5B"/>
    <w:rsid w:val="00332CC3"/>
    <w:rsid w:val="00334C57"/>
    <w:rsid w:val="00334D0F"/>
    <w:rsid w:val="003356DA"/>
    <w:rsid w:val="00336057"/>
    <w:rsid w:val="0033667A"/>
    <w:rsid w:val="00336C60"/>
    <w:rsid w:val="00336D91"/>
    <w:rsid w:val="003379AD"/>
    <w:rsid w:val="00340B8F"/>
    <w:rsid w:val="00343623"/>
    <w:rsid w:val="00343A1A"/>
    <w:rsid w:val="00345A82"/>
    <w:rsid w:val="00346C0B"/>
    <w:rsid w:val="003518AB"/>
    <w:rsid w:val="00351AE8"/>
    <w:rsid w:val="00352805"/>
    <w:rsid w:val="0035301A"/>
    <w:rsid w:val="003537E4"/>
    <w:rsid w:val="00354924"/>
    <w:rsid w:val="00354D22"/>
    <w:rsid w:val="003561B0"/>
    <w:rsid w:val="00356EE2"/>
    <w:rsid w:val="00356F6E"/>
    <w:rsid w:val="00357086"/>
    <w:rsid w:val="0035781F"/>
    <w:rsid w:val="00357CF9"/>
    <w:rsid w:val="0036077B"/>
    <w:rsid w:val="0036134E"/>
    <w:rsid w:val="00361363"/>
    <w:rsid w:val="00361989"/>
    <w:rsid w:val="003625A7"/>
    <w:rsid w:val="00362602"/>
    <w:rsid w:val="003629C9"/>
    <w:rsid w:val="003652A1"/>
    <w:rsid w:val="00365A31"/>
    <w:rsid w:val="00366641"/>
    <w:rsid w:val="003674E3"/>
    <w:rsid w:val="00367F0D"/>
    <w:rsid w:val="0037216A"/>
    <w:rsid w:val="0037266E"/>
    <w:rsid w:val="00372E4E"/>
    <w:rsid w:val="0037358E"/>
    <w:rsid w:val="0037363E"/>
    <w:rsid w:val="003739D1"/>
    <w:rsid w:val="00373CD9"/>
    <w:rsid w:val="0037464E"/>
    <w:rsid w:val="00374A14"/>
    <w:rsid w:val="00375548"/>
    <w:rsid w:val="00375C36"/>
    <w:rsid w:val="00375DFE"/>
    <w:rsid w:val="00376DD8"/>
    <w:rsid w:val="00377350"/>
    <w:rsid w:val="003823BE"/>
    <w:rsid w:val="00382419"/>
    <w:rsid w:val="003831FD"/>
    <w:rsid w:val="00384375"/>
    <w:rsid w:val="00385459"/>
    <w:rsid w:val="003877FB"/>
    <w:rsid w:val="00387BF5"/>
    <w:rsid w:val="00387C59"/>
    <w:rsid w:val="003900C0"/>
    <w:rsid w:val="00390AF4"/>
    <w:rsid w:val="003915D0"/>
    <w:rsid w:val="003916C3"/>
    <w:rsid w:val="0039276D"/>
    <w:rsid w:val="00392D1F"/>
    <w:rsid w:val="00392E6A"/>
    <w:rsid w:val="00392F13"/>
    <w:rsid w:val="0039300A"/>
    <w:rsid w:val="003930DB"/>
    <w:rsid w:val="0039406F"/>
    <w:rsid w:val="00394AB3"/>
    <w:rsid w:val="00394B85"/>
    <w:rsid w:val="00394BA0"/>
    <w:rsid w:val="00396031"/>
    <w:rsid w:val="003A05B8"/>
    <w:rsid w:val="003A1A29"/>
    <w:rsid w:val="003A23F1"/>
    <w:rsid w:val="003A2C59"/>
    <w:rsid w:val="003A2F5F"/>
    <w:rsid w:val="003A4434"/>
    <w:rsid w:val="003A44F3"/>
    <w:rsid w:val="003A4749"/>
    <w:rsid w:val="003A47C4"/>
    <w:rsid w:val="003A4C18"/>
    <w:rsid w:val="003A6AC9"/>
    <w:rsid w:val="003B017E"/>
    <w:rsid w:val="003B025B"/>
    <w:rsid w:val="003B1723"/>
    <w:rsid w:val="003B18C3"/>
    <w:rsid w:val="003B220A"/>
    <w:rsid w:val="003B2559"/>
    <w:rsid w:val="003B4029"/>
    <w:rsid w:val="003B4719"/>
    <w:rsid w:val="003B47DF"/>
    <w:rsid w:val="003B4E00"/>
    <w:rsid w:val="003B6224"/>
    <w:rsid w:val="003B6BDA"/>
    <w:rsid w:val="003B78DE"/>
    <w:rsid w:val="003B7D06"/>
    <w:rsid w:val="003C029E"/>
    <w:rsid w:val="003C12CD"/>
    <w:rsid w:val="003C1601"/>
    <w:rsid w:val="003C1708"/>
    <w:rsid w:val="003C22CA"/>
    <w:rsid w:val="003C3215"/>
    <w:rsid w:val="003C478B"/>
    <w:rsid w:val="003C5F82"/>
    <w:rsid w:val="003C74D4"/>
    <w:rsid w:val="003C7582"/>
    <w:rsid w:val="003D0FF8"/>
    <w:rsid w:val="003D1B9E"/>
    <w:rsid w:val="003D3251"/>
    <w:rsid w:val="003D3688"/>
    <w:rsid w:val="003D4A8C"/>
    <w:rsid w:val="003D4B82"/>
    <w:rsid w:val="003D50B0"/>
    <w:rsid w:val="003D5A1A"/>
    <w:rsid w:val="003D7A98"/>
    <w:rsid w:val="003E1ABD"/>
    <w:rsid w:val="003E431D"/>
    <w:rsid w:val="003E4D0C"/>
    <w:rsid w:val="003E599F"/>
    <w:rsid w:val="003E5F65"/>
    <w:rsid w:val="003E79C3"/>
    <w:rsid w:val="003E7A90"/>
    <w:rsid w:val="003E7A94"/>
    <w:rsid w:val="003F00E7"/>
    <w:rsid w:val="003F03BA"/>
    <w:rsid w:val="003F2E87"/>
    <w:rsid w:val="003F30C2"/>
    <w:rsid w:val="003F3214"/>
    <w:rsid w:val="003F3421"/>
    <w:rsid w:val="003F53BC"/>
    <w:rsid w:val="003F6F47"/>
    <w:rsid w:val="00400E76"/>
    <w:rsid w:val="004012E1"/>
    <w:rsid w:val="00401382"/>
    <w:rsid w:val="00401DFA"/>
    <w:rsid w:val="00402921"/>
    <w:rsid w:val="00402B76"/>
    <w:rsid w:val="00403C97"/>
    <w:rsid w:val="00404D29"/>
    <w:rsid w:val="00405109"/>
    <w:rsid w:val="004068A2"/>
    <w:rsid w:val="00406E9D"/>
    <w:rsid w:val="00406F5A"/>
    <w:rsid w:val="0041006E"/>
    <w:rsid w:val="00410EA1"/>
    <w:rsid w:val="00410F59"/>
    <w:rsid w:val="004128F6"/>
    <w:rsid w:val="00412AFA"/>
    <w:rsid w:val="00412EA6"/>
    <w:rsid w:val="00413BFE"/>
    <w:rsid w:val="00414999"/>
    <w:rsid w:val="00415059"/>
    <w:rsid w:val="00416E4B"/>
    <w:rsid w:val="00416F68"/>
    <w:rsid w:val="004210EF"/>
    <w:rsid w:val="00421673"/>
    <w:rsid w:val="00421CE1"/>
    <w:rsid w:val="004220F7"/>
    <w:rsid w:val="00423507"/>
    <w:rsid w:val="00424C99"/>
    <w:rsid w:val="00424F17"/>
    <w:rsid w:val="00425A5C"/>
    <w:rsid w:val="004265AC"/>
    <w:rsid w:val="00431334"/>
    <w:rsid w:val="00431AB9"/>
    <w:rsid w:val="004322E2"/>
    <w:rsid w:val="00432E2D"/>
    <w:rsid w:val="0043353A"/>
    <w:rsid w:val="0043408B"/>
    <w:rsid w:val="0043427D"/>
    <w:rsid w:val="004367C4"/>
    <w:rsid w:val="00437965"/>
    <w:rsid w:val="00442541"/>
    <w:rsid w:val="00442991"/>
    <w:rsid w:val="004429D1"/>
    <w:rsid w:val="00442ABC"/>
    <w:rsid w:val="004433D9"/>
    <w:rsid w:val="004434EE"/>
    <w:rsid w:val="004438F1"/>
    <w:rsid w:val="00444C1B"/>
    <w:rsid w:val="004460E9"/>
    <w:rsid w:val="0044628C"/>
    <w:rsid w:val="00452AFF"/>
    <w:rsid w:val="00453BE5"/>
    <w:rsid w:val="00454BC0"/>
    <w:rsid w:val="00456278"/>
    <w:rsid w:val="00456373"/>
    <w:rsid w:val="00456C8E"/>
    <w:rsid w:val="00460EE9"/>
    <w:rsid w:val="004610A5"/>
    <w:rsid w:val="004614BF"/>
    <w:rsid w:val="0046172E"/>
    <w:rsid w:val="00464258"/>
    <w:rsid w:val="00464F11"/>
    <w:rsid w:val="00465992"/>
    <w:rsid w:val="00465D1D"/>
    <w:rsid w:val="00465EE7"/>
    <w:rsid w:val="0046650E"/>
    <w:rsid w:val="00466A84"/>
    <w:rsid w:val="00471DF8"/>
    <w:rsid w:val="0047354D"/>
    <w:rsid w:val="00473BD3"/>
    <w:rsid w:val="00476449"/>
    <w:rsid w:val="00480613"/>
    <w:rsid w:val="0048142B"/>
    <w:rsid w:val="00481F60"/>
    <w:rsid w:val="00482208"/>
    <w:rsid w:val="00482A59"/>
    <w:rsid w:val="0048472E"/>
    <w:rsid w:val="004849A8"/>
    <w:rsid w:val="00485F22"/>
    <w:rsid w:val="00487FCD"/>
    <w:rsid w:val="00492DE7"/>
    <w:rsid w:val="004933CF"/>
    <w:rsid w:val="004934E5"/>
    <w:rsid w:val="00493F6B"/>
    <w:rsid w:val="004953E1"/>
    <w:rsid w:val="004978B2"/>
    <w:rsid w:val="00497AFA"/>
    <w:rsid w:val="00497BC8"/>
    <w:rsid w:val="004A029F"/>
    <w:rsid w:val="004A063D"/>
    <w:rsid w:val="004A0D65"/>
    <w:rsid w:val="004A1020"/>
    <w:rsid w:val="004A437D"/>
    <w:rsid w:val="004A44FE"/>
    <w:rsid w:val="004A66E3"/>
    <w:rsid w:val="004A6856"/>
    <w:rsid w:val="004A72C4"/>
    <w:rsid w:val="004A7413"/>
    <w:rsid w:val="004B0F00"/>
    <w:rsid w:val="004B109D"/>
    <w:rsid w:val="004B14D8"/>
    <w:rsid w:val="004B16C7"/>
    <w:rsid w:val="004B1F07"/>
    <w:rsid w:val="004B21D3"/>
    <w:rsid w:val="004B39A9"/>
    <w:rsid w:val="004B3DCB"/>
    <w:rsid w:val="004B4AAE"/>
    <w:rsid w:val="004B4AB2"/>
    <w:rsid w:val="004B5E61"/>
    <w:rsid w:val="004B6356"/>
    <w:rsid w:val="004B6679"/>
    <w:rsid w:val="004B7ECC"/>
    <w:rsid w:val="004C135B"/>
    <w:rsid w:val="004C2346"/>
    <w:rsid w:val="004C296E"/>
    <w:rsid w:val="004C34E7"/>
    <w:rsid w:val="004C35D9"/>
    <w:rsid w:val="004C41C0"/>
    <w:rsid w:val="004C4889"/>
    <w:rsid w:val="004C4E7B"/>
    <w:rsid w:val="004C55EE"/>
    <w:rsid w:val="004C5B79"/>
    <w:rsid w:val="004C6652"/>
    <w:rsid w:val="004C6801"/>
    <w:rsid w:val="004C6A8D"/>
    <w:rsid w:val="004D053B"/>
    <w:rsid w:val="004D061F"/>
    <w:rsid w:val="004D1304"/>
    <w:rsid w:val="004D24AA"/>
    <w:rsid w:val="004D25DC"/>
    <w:rsid w:val="004D2DB6"/>
    <w:rsid w:val="004D30C5"/>
    <w:rsid w:val="004D34E7"/>
    <w:rsid w:val="004D3B5B"/>
    <w:rsid w:val="004D3D4B"/>
    <w:rsid w:val="004D4BB5"/>
    <w:rsid w:val="004D50DA"/>
    <w:rsid w:val="004D6724"/>
    <w:rsid w:val="004D7791"/>
    <w:rsid w:val="004E0526"/>
    <w:rsid w:val="004E1DD8"/>
    <w:rsid w:val="004E1E0E"/>
    <w:rsid w:val="004E2ABC"/>
    <w:rsid w:val="004E2D26"/>
    <w:rsid w:val="004E3109"/>
    <w:rsid w:val="004E4265"/>
    <w:rsid w:val="004E4A0C"/>
    <w:rsid w:val="004E68D9"/>
    <w:rsid w:val="004E6E75"/>
    <w:rsid w:val="004E712A"/>
    <w:rsid w:val="004E761F"/>
    <w:rsid w:val="004E7938"/>
    <w:rsid w:val="004E7BF8"/>
    <w:rsid w:val="004F0105"/>
    <w:rsid w:val="004F0A3D"/>
    <w:rsid w:val="004F1C51"/>
    <w:rsid w:val="004F1DA1"/>
    <w:rsid w:val="004F1E37"/>
    <w:rsid w:val="004F2709"/>
    <w:rsid w:val="004F4530"/>
    <w:rsid w:val="004F4CD3"/>
    <w:rsid w:val="004F4DFE"/>
    <w:rsid w:val="004F5581"/>
    <w:rsid w:val="004F7034"/>
    <w:rsid w:val="004F7C21"/>
    <w:rsid w:val="005004B1"/>
    <w:rsid w:val="0050119E"/>
    <w:rsid w:val="00501250"/>
    <w:rsid w:val="00503A97"/>
    <w:rsid w:val="00503B47"/>
    <w:rsid w:val="00503BAF"/>
    <w:rsid w:val="00504BA6"/>
    <w:rsid w:val="00505371"/>
    <w:rsid w:val="005053C0"/>
    <w:rsid w:val="0050767B"/>
    <w:rsid w:val="00507C7C"/>
    <w:rsid w:val="00507D1B"/>
    <w:rsid w:val="00515DBD"/>
    <w:rsid w:val="00516D2E"/>
    <w:rsid w:val="005171BF"/>
    <w:rsid w:val="005176DE"/>
    <w:rsid w:val="00517E82"/>
    <w:rsid w:val="005214E2"/>
    <w:rsid w:val="0052325C"/>
    <w:rsid w:val="0052331D"/>
    <w:rsid w:val="00524178"/>
    <w:rsid w:val="0052439D"/>
    <w:rsid w:val="005249F9"/>
    <w:rsid w:val="0052522E"/>
    <w:rsid w:val="005261F2"/>
    <w:rsid w:val="0052711D"/>
    <w:rsid w:val="00527D0C"/>
    <w:rsid w:val="00530ECF"/>
    <w:rsid w:val="00532F20"/>
    <w:rsid w:val="005336DB"/>
    <w:rsid w:val="00533816"/>
    <w:rsid w:val="00534369"/>
    <w:rsid w:val="00534647"/>
    <w:rsid w:val="005348AF"/>
    <w:rsid w:val="00536361"/>
    <w:rsid w:val="00537EF7"/>
    <w:rsid w:val="005415F9"/>
    <w:rsid w:val="005416FF"/>
    <w:rsid w:val="00541D79"/>
    <w:rsid w:val="005424B5"/>
    <w:rsid w:val="00542CB4"/>
    <w:rsid w:val="00542D40"/>
    <w:rsid w:val="00542E77"/>
    <w:rsid w:val="0054400D"/>
    <w:rsid w:val="00544308"/>
    <w:rsid w:val="00544C51"/>
    <w:rsid w:val="00544E2A"/>
    <w:rsid w:val="005460E6"/>
    <w:rsid w:val="00546D3F"/>
    <w:rsid w:val="00547A6B"/>
    <w:rsid w:val="00550CD8"/>
    <w:rsid w:val="00550ED1"/>
    <w:rsid w:val="005510F0"/>
    <w:rsid w:val="005529AE"/>
    <w:rsid w:val="00553810"/>
    <w:rsid w:val="00553AD0"/>
    <w:rsid w:val="00554E27"/>
    <w:rsid w:val="005552D1"/>
    <w:rsid w:val="005558C6"/>
    <w:rsid w:val="0055615F"/>
    <w:rsid w:val="005579AF"/>
    <w:rsid w:val="00557BF1"/>
    <w:rsid w:val="00561106"/>
    <w:rsid w:val="00561797"/>
    <w:rsid w:val="00561ABF"/>
    <w:rsid w:val="00562FA2"/>
    <w:rsid w:val="00564422"/>
    <w:rsid w:val="00564B88"/>
    <w:rsid w:val="00565916"/>
    <w:rsid w:val="005664DE"/>
    <w:rsid w:val="00566EB3"/>
    <w:rsid w:val="00566F61"/>
    <w:rsid w:val="0056764E"/>
    <w:rsid w:val="005708BC"/>
    <w:rsid w:val="005710E2"/>
    <w:rsid w:val="0057259D"/>
    <w:rsid w:val="00572917"/>
    <w:rsid w:val="00573C53"/>
    <w:rsid w:val="005747FE"/>
    <w:rsid w:val="005763BA"/>
    <w:rsid w:val="005764B7"/>
    <w:rsid w:val="00577579"/>
    <w:rsid w:val="005779A3"/>
    <w:rsid w:val="00580196"/>
    <w:rsid w:val="00580667"/>
    <w:rsid w:val="005820F3"/>
    <w:rsid w:val="00582B2E"/>
    <w:rsid w:val="0058331E"/>
    <w:rsid w:val="005841C3"/>
    <w:rsid w:val="00584226"/>
    <w:rsid w:val="00586B9A"/>
    <w:rsid w:val="00587618"/>
    <w:rsid w:val="00590E72"/>
    <w:rsid w:val="005927D5"/>
    <w:rsid w:val="005927E6"/>
    <w:rsid w:val="00593540"/>
    <w:rsid w:val="005952F5"/>
    <w:rsid w:val="00595722"/>
    <w:rsid w:val="00596177"/>
    <w:rsid w:val="005A01F1"/>
    <w:rsid w:val="005A0A4D"/>
    <w:rsid w:val="005A1619"/>
    <w:rsid w:val="005A1A02"/>
    <w:rsid w:val="005A20FC"/>
    <w:rsid w:val="005A2D87"/>
    <w:rsid w:val="005A4970"/>
    <w:rsid w:val="005A4E36"/>
    <w:rsid w:val="005A54FB"/>
    <w:rsid w:val="005A57CD"/>
    <w:rsid w:val="005A61EF"/>
    <w:rsid w:val="005A6404"/>
    <w:rsid w:val="005A653C"/>
    <w:rsid w:val="005A79A8"/>
    <w:rsid w:val="005A7B62"/>
    <w:rsid w:val="005A7D9F"/>
    <w:rsid w:val="005B283F"/>
    <w:rsid w:val="005B2A95"/>
    <w:rsid w:val="005B3E3B"/>
    <w:rsid w:val="005B3E7C"/>
    <w:rsid w:val="005B44CF"/>
    <w:rsid w:val="005B4DB4"/>
    <w:rsid w:val="005B60F0"/>
    <w:rsid w:val="005B6D1F"/>
    <w:rsid w:val="005B6DE9"/>
    <w:rsid w:val="005B7246"/>
    <w:rsid w:val="005C2B45"/>
    <w:rsid w:val="005C2C9A"/>
    <w:rsid w:val="005C38A4"/>
    <w:rsid w:val="005C597B"/>
    <w:rsid w:val="005C6205"/>
    <w:rsid w:val="005C65A2"/>
    <w:rsid w:val="005C68E9"/>
    <w:rsid w:val="005D0047"/>
    <w:rsid w:val="005D0F9B"/>
    <w:rsid w:val="005D0FE4"/>
    <w:rsid w:val="005D244F"/>
    <w:rsid w:val="005D3404"/>
    <w:rsid w:val="005D3920"/>
    <w:rsid w:val="005D4339"/>
    <w:rsid w:val="005D4910"/>
    <w:rsid w:val="005D49C8"/>
    <w:rsid w:val="005D5006"/>
    <w:rsid w:val="005D6003"/>
    <w:rsid w:val="005D625B"/>
    <w:rsid w:val="005D748A"/>
    <w:rsid w:val="005E2288"/>
    <w:rsid w:val="005E26DB"/>
    <w:rsid w:val="005E3273"/>
    <w:rsid w:val="005E33C9"/>
    <w:rsid w:val="005E3B55"/>
    <w:rsid w:val="005E3C90"/>
    <w:rsid w:val="005E3ED3"/>
    <w:rsid w:val="005E3F0B"/>
    <w:rsid w:val="005E522B"/>
    <w:rsid w:val="005E54A0"/>
    <w:rsid w:val="005E6ED3"/>
    <w:rsid w:val="005E70FB"/>
    <w:rsid w:val="005F003F"/>
    <w:rsid w:val="005F00F2"/>
    <w:rsid w:val="005F10B7"/>
    <w:rsid w:val="005F2513"/>
    <w:rsid w:val="005F47B8"/>
    <w:rsid w:val="005F5EFC"/>
    <w:rsid w:val="005F62B7"/>
    <w:rsid w:val="005F67E2"/>
    <w:rsid w:val="00601130"/>
    <w:rsid w:val="00602650"/>
    <w:rsid w:val="00602782"/>
    <w:rsid w:val="00602BA4"/>
    <w:rsid w:val="00602BAB"/>
    <w:rsid w:val="00602CE7"/>
    <w:rsid w:val="006032D1"/>
    <w:rsid w:val="00603932"/>
    <w:rsid w:val="00603DA4"/>
    <w:rsid w:val="00605385"/>
    <w:rsid w:val="00605BD0"/>
    <w:rsid w:val="006061FE"/>
    <w:rsid w:val="006065EE"/>
    <w:rsid w:val="0060684B"/>
    <w:rsid w:val="00606FCE"/>
    <w:rsid w:val="006072FF"/>
    <w:rsid w:val="00607F4E"/>
    <w:rsid w:val="00610287"/>
    <w:rsid w:val="00610882"/>
    <w:rsid w:val="006126EF"/>
    <w:rsid w:val="00612845"/>
    <w:rsid w:val="006130E8"/>
    <w:rsid w:val="00613D76"/>
    <w:rsid w:val="006152D7"/>
    <w:rsid w:val="00616435"/>
    <w:rsid w:val="0061775C"/>
    <w:rsid w:val="00617768"/>
    <w:rsid w:val="00617DB9"/>
    <w:rsid w:val="00617F03"/>
    <w:rsid w:val="0062033C"/>
    <w:rsid w:val="00620C11"/>
    <w:rsid w:val="00622AD8"/>
    <w:rsid w:val="00622DD4"/>
    <w:rsid w:val="00623109"/>
    <w:rsid w:val="006246AE"/>
    <w:rsid w:val="00624CB1"/>
    <w:rsid w:val="00625570"/>
    <w:rsid w:val="00625B19"/>
    <w:rsid w:val="00625B42"/>
    <w:rsid w:val="00625C0B"/>
    <w:rsid w:val="00625CC4"/>
    <w:rsid w:val="006270A7"/>
    <w:rsid w:val="006271DF"/>
    <w:rsid w:val="00627681"/>
    <w:rsid w:val="00630754"/>
    <w:rsid w:val="0063088C"/>
    <w:rsid w:val="006319AC"/>
    <w:rsid w:val="00632009"/>
    <w:rsid w:val="006339B9"/>
    <w:rsid w:val="00633B9D"/>
    <w:rsid w:val="00633C77"/>
    <w:rsid w:val="006343DB"/>
    <w:rsid w:val="006346B1"/>
    <w:rsid w:val="00635EC3"/>
    <w:rsid w:val="00640BA1"/>
    <w:rsid w:val="00641408"/>
    <w:rsid w:val="00641C9D"/>
    <w:rsid w:val="00643365"/>
    <w:rsid w:val="00644FDD"/>
    <w:rsid w:val="00646ADB"/>
    <w:rsid w:val="00647BAE"/>
    <w:rsid w:val="0065019A"/>
    <w:rsid w:val="006504A0"/>
    <w:rsid w:val="006508BA"/>
    <w:rsid w:val="006513DD"/>
    <w:rsid w:val="00653030"/>
    <w:rsid w:val="006535D0"/>
    <w:rsid w:val="00654A71"/>
    <w:rsid w:val="00656591"/>
    <w:rsid w:val="00656B99"/>
    <w:rsid w:val="00657FAA"/>
    <w:rsid w:val="00660197"/>
    <w:rsid w:val="006605E6"/>
    <w:rsid w:val="00660E79"/>
    <w:rsid w:val="006619D0"/>
    <w:rsid w:val="00662FF6"/>
    <w:rsid w:val="006637E8"/>
    <w:rsid w:val="00663874"/>
    <w:rsid w:val="00663AAA"/>
    <w:rsid w:val="00664CC8"/>
    <w:rsid w:val="00665865"/>
    <w:rsid w:val="00665FCB"/>
    <w:rsid w:val="00666082"/>
    <w:rsid w:val="00666656"/>
    <w:rsid w:val="006667C7"/>
    <w:rsid w:val="00666E6A"/>
    <w:rsid w:val="00667606"/>
    <w:rsid w:val="00667C87"/>
    <w:rsid w:val="00670285"/>
    <w:rsid w:val="006703FB"/>
    <w:rsid w:val="00670621"/>
    <w:rsid w:val="00670C96"/>
    <w:rsid w:val="006718FC"/>
    <w:rsid w:val="00672261"/>
    <w:rsid w:val="006748BF"/>
    <w:rsid w:val="00675A5A"/>
    <w:rsid w:val="00675C5D"/>
    <w:rsid w:val="00675F3B"/>
    <w:rsid w:val="0067778E"/>
    <w:rsid w:val="00677818"/>
    <w:rsid w:val="00680DCE"/>
    <w:rsid w:val="00681495"/>
    <w:rsid w:val="00687205"/>
    <w:rsid w:val="006877DF"/>
    <w:rsid w:val="00690681"/>
    <w:rsid w:val="00690B33"/>
    <w:rsid w:val="00691393"/>
    <w:rsid w:val="00692B1B"/>
    <w:rsid w:val="00692DC7"/>
    <w:rsid w:val="00695621"/>
    <w:rsid w:val="00695C57"/>
    <w:rsid w:val="006966F3"/>
    <w:rsid w:val="00696B86"/>
    <w:rsid w:val="006A0F34"/>
    <w:rsid w:val="006A10C5"/>
    <w:rsid w:val="006A3B1D"/>
    <w:rsid w:val="006A446E"/>
    <w:rsid w:val="006A4768"/>
    <w:rsid w:val="006A57E9"/>
    <w:rsid w:val="006B079E"/>
    <w:rsid w:val="006B0BEE"/>
    <w:rsid w:val="006B1820"/>
    <w:rsid w:val="006B2C87"/>
    <w:rsid w:val="006B2C8A"/>
    <w:rsid w:val="006B33BC"/>
    <w:rsid w:val="006B3E32"/>
    <w:rsid w:val="006B494B"/>
    <w:rsid w:val="006B54D1"/>
    <w:rsid w:val="006B5533"/>
    <w:rsid w:val="006B5A30"/>
    <w:rsid w:val="006B737C"/>
    <w:rsid w:val="006B7E47"/>
    <w:rsid w:val="006C04F3"/>
    <w:rsid w:val="006C1785"/>
    <w:rsid w:val="006C223D"/>
    <w:rsid w:val="006C3550"/>
    <w:rsid w:val="006C4024"/>
    <w:rsid w:val="006C405E"/>
    <w:rsid w:val="006C4C75"/>
    <w:rsid w:val="006C5387"/>
    <w:rsid w:val="006C53B7"/>
    <w:rsid w:val="006C62C3"/>
    <w:rsid w:val="006C687B"/>
    <w:rsid w:val="006D095C"/>
    <w:rsid w:val="006D10F5"/>
    <w:rsid w:val="006D1BBB"/>
    <w:rsid w:val="006D3323"/>
    <w:rsid w:val="006D3942"/>
    <w:rsid w:val="006D409B"/>
    <w:rsid w:val="006D469C"/>
    <w:rsid w:val="006D6D5A"/>
    <w:rsid w:val="006D6E0E"/>
    <w:rsid w:val="006D7A50"/>
    <w:rsid w:val="006E08C4"/>
    <w:rsid w:val="006E122B"/>
    <w:rsid w:val="006E1B35"/>
    <w:rsid w:val="006E1FD6"/>
    <w:rsid w:val="006E474C"/>
    <w:rsid w:val="006E525F"/>
    <w:rsid w:val="006E6FCD"/>
    <w:rsid w:val="006E70F5"/>
    <w:rsid w:val="006F0411"/>
    <w:rsid w:val="006F0E57"/>
    <w:rsid w:val="006F10C4"/>
    <w:rsid w:val="006F1EF1"/>
    <w:rsid w:val="006F2433"/>
    <w:rsid w:val="006F34FE"/>
    <w:rsid w:val="006F4D4F"/>
    <w:rsid w:val="006F59DB"/>
    <w:rsid w:val="006F6179"/>
    <w:rsid w:val="006F62F9"/>
    <w:rsid w:val="006F6947"/>
    <w:rsid w:val="006F6AA5"/>
    <w:rsid w:val="006F7429"/>
    <w:rsid w:val="006F75ED"/>
    <w:rsid w:val="00700C21"/>
    <w:rsid w:val="00700D64"/>
    <w:rsid w:val="00700ECE"/>
    <w:rsid w:val="00701593"/>
    <w:rsid w:val="00701F03"/>
    <w:rsid w:val="00702998"/>
    <w:rsid w:val="00702D9A"/>
    <w:rsid w:val="00703298"/>
    <w:rsid w:val="007032CA"/>
    <w:rsid w:val="00703543"/>
    <w:rsid w:val="00703691"/>
    <w:rsid w:val="00704B3B"/>
    <w:rsid w:val="007056A0"/>
    <w:rsid w:val="00705E2F"/>
    <w:rsid w:val="007060CD"/>
    <w:rsid w:val="0070627C"/>
    <w:rsid w:val="00710036"/>
    <w:rsid w:val="007101C4"/>
    <w:rsid w:val="007105EB"/>
    <w:rsid w:val="00710699"/>
    <w:rsid w:val="007111E9"/>
    <w:rsid w:val="00711458"/>
    <w:rsid w:val="00711B09"/>
    <w:rsid w:val="007123CB"/>
    <w:rsid w:val="00712AAE"/>
    <w:rsid w:val="00712FBF"/>
    <w:rsid w:val="0071318C"/>
    <w:rsid w:val="0071358D"/>
    <w:rsid w:val="0071379A"/>
    <w:rsid w:val="00713DFB"/>
    <w:rsid w:val="00714375"/>
    <w:rsid w:val="00716128"/>
    <w:rsid w:val="00716342"/>
    <w:rsid w:val="00717206"/>
    <w:rsid w:val="00717582"/>
    <w:rsid w:val="00720402"/>
    <w:rsid w:val="00721B19"/>
    <w:rsid w:val="00721C47"/>
    <w:rsid w:val="00722E6A"/>
    <w:rsid w:val="0072340B"/>
    <w:rsid w:val="007237CC"/>
    <w:rsid w:val="00723A1A"/>
    <w:rsid w:val="00723D55"/>
    <w:rsid w:val="00726CCD"/>
    <w:rsid w:val="00727FB7"/>
    <w:rsid w:val="007307F6"/>
    <w:rsid w:val="0073093C"/>
    <w:rsid w:val="00730D2A"/>
    <w:rsid w:val="00731E6A"/>
    <w:rsid w:val="00732139"/>
    <w:rsid w:val="007350BF"/>
    <w:rsid w:val="00735F61"/>
    <w:rsid w:val="00736FD5"/>
    <w:rsid w:val="007376F7"/>
    <w:rsid w:val="00741EAF"/>
    <w:rsid w:val="00742710"/>
    <w:rsid w:val="0074351D"/>
    <w:rsid w:val="00743BEB"/>
    <w:rsid w:val="00743D93"/>
    <w:rsid w:val="00745A02"/>
    <w:rsid w:val="007467AB"/>
    <w:rsid w:val="00747E00"/>
    <w:rsid w:val="00747EB1"/>
    <w:rsid w:val="00750EC9"/>
    <w:rsid w:val="007511CA"/>
    <w:rsid w:val="007525A5"/>
    <w:rsid w:val="00753641"/>
    <w:rsid w:val="0075511B"/>
    <w:rsid w:val="007556D8"/>
    <w:rsid w:val="00756D2F"/>
    <w:rsid w:val="00757153"/>
    <w:rsid w:val="007575F1"/>
    <w:rsid w:val="00761134"/>
    <w:rsid w:val="00762428"/>
    <w:rsid w:val="00764610"/>
    <w:rsid w:val="00764BF2"/>
    <w:rsid w:val="007659B0"/>
    <w:rsid w:val="00765A69"/>
    <w:rsid w:val="00770537"/>
    <w:rsid w:val="007727D7"/>
    <w:rsid w:val="00772C23"/>
    <w:rsid w:val="00774F0F"/>
    <w:rsid w:val="007752FA"/>
    <w:rsid w:val="00775508"/>
    <w:rsid w:val="007757EF"/>
    <w:rsid w:val="00776525"/>
    <w:rsid w:val="00776FCB"/>
    <w:rsid w:val="00777043"/>
    <w:rsid w:val="00777A93"/>
    <w:rsid w:val="00777AC1"/>
    <w:rsid w:val="00777C46"/>
    <w:rsid w:val="00777F02"/>
    <w:rsid w:val="007802A3"/>
    <w:rsid w:val="00780C92"/>
    <w:rsid w:val="007810FC"/>
    <w:rsid w:val="007811BC"/>
    <w:rsid w:val="00781C09"/>
    <w:rsid w:val="00781C8F"/>
    <w:rsid w:val="0078376B"/>
    <w:rsid w:val="00783C7D"/>
    <w:rsid w:val="007845CE"/>
    <w:rsid w:val="00784CE3"/>
    <w:rsid w:val="00787C69"/>
    <w:rsid w:val="007904A3"/>
    <w:rsid w:val="0079126D"/>
    <w:rsid w:val="00791DC6"/>
    <w:rsid w:val="007929F0"/>
    <w:rsid w:val="00793213"/>
    <w:rsid w:val="00794043"/>
    <w:rsid w:val="00794F4E"/>
    <w:rsid w:val="0079510F"/>
    <w:rsid w:val="00796D96"/>
    <w:rsid w:val="007975A2"/>
    <w:rsid w:val="0079798A"/>
    <w:rsid w:val="007A10FD"/>
    <w:rsid w:val="007A13AC"/>
    <w:rsid w:val="007A1FB0"/>
    <w:rsid w:val="007A441C"/>
    <w:rsid w:val="007A4E98"/>
    <w:rsid w:val="007A516F"/>
    <w:rsid w:val="007A58B9"/>
    <w:rsid w:val="007A6563"/>
    <w:rsid w:val="007A7325"/>
    <w:rsid w:val="007A74BB"/>
    <w:rsid w:val="007A7B00"/>
    <w:rsid w:val="007B07C2"/>
    <w:rsid w:val="007B19B8"/>
    <w:rsid w:val="007B29CB"/>
    <w:rsid w:val="007B3942"/>
    <w:rsid w:val="007B45BD"/>
    <w:rsid w:val="007B4E46"/>
    <w:rsid w:val="007C070D"/>
    <w:rsid w:val="007C0C76"/>
    <w:rsid w:val="007C130F"/>
    <w:rsid w:val="007C1E73"/>
    <w:rsid w:val="007C3859"/>
    <w:rsid w:val="007C3D73"/>
    <w:rsid w:val="007C402C"/>
    <w:rsid w:val="007C4A2C"/>
    <w:rsid w:val="007C4C28"/>
    <w:rsid w:val="007C5819"/>
    <w:rsid w:val="007C66AE"/>
    <w:rsid w:val="007C6C65"/>
    <w:rsid w:val="007D1BBE"/>
    <w:rsid w:val="007D1C1C"/>
    <w:rsid w:val="007D1EAF"/>
    <w:rsid w:val="007D5367"/>
    <w:rsid w:val="007D55D4"/>
    <w:rsid w:val="007D595A"/>
    <w:rsid w:val="007D5AEA"/>
    <w:rsid w:val="007E072D"/>
    <w:rsid w:val="007E1B97"/>
    <w:rsid w:val="007E1F57"/>
    <w:rsid w:val="007E208D"/>
    <w:rsid w:val="007E21D9"/>
    <w:rsid w:val="007E313F"/>
    <w:rsid w:val="007E3A1F"/>
    <w:rsid w:val="007E464A"/>
    <w:rsid w:val="007E4F13"/>
    <w:rsid w:val="007E529B"/>
    <w:rsid w:val="007E5AA8"/>
    <w:rsid w:val="007E64AA"/>
    <w:rsid w:val="007E6E6F"/>
    <w:rsid w:val="007E7D30"/>
    <w:rsid w:val="007F0AF7"/>
    <w:rsid w:val="007F127D"/>
    <w:rsid w:val="007F1B5A"/>
    <w:rsid w:val="007F2BB6"/>
    <w:rsid w:val="007F2F41"/>
    <w:rsid w:val="007F3E09"/>
    <w:rsid w:val="007F4F2A"/>
    <w:rsid w:val="007F61A6"/>
    <w:rsid w:val="007F6C81"/>
    <w:rsid w:val="007F747D"/>
    <w:rsid w:val="0080023A"/>
    <w:rsid w:val="00801D0C"/>
    <w:rsid w:val="00801F81"/>
    <w:rsid w:val="008021AC"/>
    <w:rsid w:val="00803082"/>
    <w:rsid w:val="008033BA"/>
    <w:rsid w:val="00803405"/>
    <w:rsid w:val="00804DD3"/>
    <w:rsid w:val="00804DF5"/>
    <w:rsid w:val="00805E08"/>
    <w:rsid w:val="00806D3A"/>
    <w:rsid w:val="00807B05"/>
    <w:rsid w:val="00807B6C"/>
    <w:rsid w:val="00810D40"/>
    <w:rsid w:val="00810F08"/>
    <w:rsid w:val="00811887"/>
    <w:rsid w:val="00812801"/>
    <w:rsid w:val="00812E84"/>
    <w:rsid w:val="00812FB4"/>
    <w:rsid w:val="008139A3"/>
    <w:rsid w:val="00814552"/>
    <w:rsid w:val="00814A79"/>
    <w:rsid w:val="00815748"/>
    <w:rsid w:val="00817660"/>
    <w:rsid w:val="0082120C"/>
    <w:rsid w:val="00821F29"/>
    <w:rsid w:val="00822578"/>
    <w:rsid w:val="008230D1"/>
    <w:rsid w:val="00823EDA"/>
    <w:rsid w:val="00824200"/>
    <w:rsid w:val="0082476F"/>
    <w:rsid w:val="00824D3E"/>
    <w:rsid w:val="008257CF"/>
    <w:rsid w:val="00827843"/>
    <w:rsid w:val="00831313"/>
    <w:rsid w:val="008323F7"/>
    <w:rsid w:val="00833257"/>
    <w:rsid w:val="00833B31"/>
    <w:rsid w:val="00834391"/>
    <w:rsid w:val="00834B57"/>
    <w:rsid w:val="00834D11"/>
    <w:rsid w:val="008356A4"/>
    <w:rsid w:val="00835986"/>
    <w:rsid w:val="00835F81"/>
    <w:rsid w:val="00836EA6"/>
    <w:rsid w:val="00837678"/>
    <w:rsid w:val="008404F7"/>
    <w:rsid w:val="00840503"/>
    <w:rsid w:val="008412D5"/>
    <w:rsid w:val="00841715"/>
    <w:rsid w:val="00841F24"/>
    <w:rsid w:val="00841F32"/>
    <w:rsid w:val="00842F65"/>
    <w:rsid w:val="0084576E"/>
    <w:rsid w:val="00846EFB"/>
    <w:rsid w:val="00850BF2"/>
    <w:rsid w:val="0085197B"/>
    <w:rsid w:val="00851D9E"/>
    <w:rsid w:val="00852006"/>
    <w:rsid w:val="008521A8"/>
    <w:rsid w:val="00852471"/>
    <w:rsid w:val="00853ABA"/>
    <w:rsid w:val="008546A6"/>
    <w:rsid w:val="0085525C"/>
    <w:rsid w:val="00856815"/>
    <w:rsid w:val="00857F4F"/>
    <w:rsid w:val="00860134"/>
    <w:rsid w:val="0086206F"/>
    <w:rsid w:val="008637A9"/>
    <w:rsid w:val="00863FAF"/>
    <w:rsid w:val="00864127"/>
    <w:rsid w:val="008650AB"/>
    <w:rsid w:val="00865608"/>
    <w:rsid w:val="008666FE"/>
    <w:rsid w:val="00866EC8"/>
    <w:rsid w:val="0086797E"/>
    <w:rsid w:val="00870576"/>
    <w:rsid w:val="008712E7"/>
    <w:rsid w:val="00871ADD"/>
    <w:rsid w:val="00872086"/>
    <w:rsid w:val="00872CC4"/>
    <w:rsid w:val="008735DF"/>
    <w:rsid w:val="00873A8C"/>
    <w:rsid w:val="00873C7E"/>
    <w:rsid w:val="00875253"/>
    <w:rsid w:val="00877115"/>
    <w:rsid w:val="008803F2"/>
    <w:rsid w:val="008808B0"/>
    <w:rsid w:val="00882D83"/>
    <w:rsid w:val="00882E85"/>
    <w:rsid w:val="00884120"/>
    <w:rsid w:val="0088477F"/>
    <w:rsid w:val="008852E8"/>
    <w:rsid w:val="00885580"/>
    <w:rsid w:val="00885CD4"/>
    <w:rsid w:val="008861ED"/>
    <w:rsid w:val="008867A5"/>
    <w:rsid w:val="00890A45"/>
    <w:rsid w:val="0089259F"/>
    <w:rsid w:val="00892A70"/>
    <w:rsid w:val="00892E00"/>
    <w:rsid w:val="008938A1"/>
    <w:rsid w:val="00893D18"/>
    <w:rsid w:val="00893F8A"/>
    <w:rsid w:val="0089445C"/>
    <w:rsid w:val="008964F2"/>
    <w:rsid w:val="00897E1F"/>
    <w:rsid w:val="008A025C"/>
    <w:rsid w:val="008A101D"/>
    <w:rsid w:val="008A2369"/>
    <w:rsid w:val="008A2893"/>
    <w:rsid w:val="008A3498"/>
    <w:rsid w:val="008A447E"/>
    <w:rsid w:val="008A482C"/>
    <w:rsid w:val="008A521D"/>
    <w:rsid w:val="008A52BD"/>
    <w:rsid w:val="008A620B"/>
    <w:rsid w:val="008A6892"/>
    <w:rsid w:val="008A7994"/>
    <w:rsid w:val="008A7DEF"/>
    <w:rsid w:val="008A7FEE"/>
    <w:rsid w:val="008B0583"/>
    <w:rsid w:val="008B0F75"/>
    <w:rsid w:val="008B1367"/>
    <w:rsid w:val="008B162D"/>
    <w:rsid w:val="008B2B4C"/>
    <w:rsid w:val="008B2D47"/>
    <w:rsid w:val="008B32AC"/>
    <w:rsid w:val="008B41B2"/>
    <w:rsid w:val="008B4549"/>
    <w:rsid w:val="008B5C94"/>
    <w:rsid w:val="008B6A53"/>
    <w:rsid w:val="008B6ED0"/>
    <w:rsid w:val="008B6F6E"/>
    <w:rsid w:val="008B7353"/>
    <w:rsid w:val="008B767E"/>
    <w:rsid w:val="008C39DC"/>
    <w:rsid w:val="008C3C52"/>
    <w:rsid w:val="008C3DDD"/>
    <w:rsid w:val="008C4108"/>
    <w:rsid w:val="008C5088"/>
    <w:rsid w:val="008C6019"/>
    <w:rsid w:val="008C7E92"/>
    <w:rsid w:val="008C7F35"/>
    <w:rsid w:val="008D0AD6"/>
    <w:rsid w:val="008D0DD5"/>
    <w:rsid w:val="008D0F42"/>
    <w:rsid w:val="008D1425"/>
    <w:rsid w:val="008D193F"/>
    <w:rsid w:val="008D1D6A"/>
    <w:rsid w:val="008D1D86"/>
    <w:rsid w:val="008D2751"/>
    <w:rsid w:val="008D2A5F"/>
    <w:rsid w:val="008D374C"/>
    <w:rsid w:val="008D478F"/>
    <w:rsid w:val="008D5117"/>
    <w:rsid w:val="008D5591"/>
    <w:rsid w:val="008D6077"/>
    <w:rsid w:val="008D60F4"/>
    <w:rsid w:val="008D6612"/>
    <w:rsid w:val="008D7480"/>
    <w:rsid w:val="008D754E"/>
    <w:rsid w:val="008E0305"/>
    <w:rsid w:val="008E227A"/>
    <w:rsid w:val="008E2932"/>
    <w:rsid w:val="008E3E87"/>
    <w:rsid w:val="008E4129"/>
    <w:rsid w:val="008E63FF"/>
    <w:rsid w:val="008E69E4"/>
    <w:rsid w:val="008E79EB"/>
    <w:rsid w:val="008E7BD2"/>
    <w:rsid w:val="008F1869"/>
    <w:rsid w:val="008F22EF"/>
    <w:rsid w:val="008F2899"/>
    <w:rsid w:val="008F3754"/>
    <w:rsid w:val="008F3BFA"/>
    <w:rsid w:val="008F48B3"/>
    <w:rsid w:val="008F4F23"/>
    <w:rsid w:val="008F581C"/>
    <w:rsid w:val="008F6488"/>
    <w:rsid w:val="008F6F02"/>
    <w:rsid w:val="008F7929"/>
    <w:rsid w:val="009020EF"/>
    <w:rsid w:val="009024F6"/>
    <w:rsid w:val="00902ADC"/>
    <w:rsid w:val="00902F27"/>
    <w:rsid w:val="00903E3A"/>
    <w:rsid w:val="00903EFB"/>
    <w:rsid w:val="00903FDA"/>
    <w:rsid w:val="009040E0"/>
    <w:rsid w:val="009061C5"/>
    <w:rsid w:val="00906209"/>
    <w:rsid w:val="00906F4E"/>
    <w:rsid w:val="00907CFC"/>
    <w:rsid w:val="0091179F"/>
    <w:rsid w:val="009120D2"/>
    <w:rsid w:val="00912F0B"/>
    <w:rsid w:val="0091354B"/>
    <w:rsid w:val="00913EDC"/>
    <w:rsid w:val="0091674C"/>
    <w:rsid w:val="009171B6"/>
    <w:rsid w:val="00920072"/>
    <w:rsid w:val="00922055"/>
    <w:rsid w:val="00922EF8"/>
    <w:rsid w:val="00923660"/>
    <w:rsid w:val="00925CB9"/>
    <w:rsid w:val="00925EEE"/>
    <w:rsid w:val="009263F8"/>
    <w:rsid w:val="00926439"/>
    <w:rsid w:val="00930761"/>
    <w:rsid w:val="00931383"/>
    <w:rsid w:val="00933105"/>
    <w:rsid w:val="00933C93"/>
    <w:rsid w:val="00935662"/>
    <w:rsid w:val="0093639F"/>
    <w:rsid w:val="00936A1A"/>
    <w:rsid w:val="009375C6"/>
    <w:rsid w:val="00937A15"/>
    <w:rsid w:val="00937BB7"/>
    <w:rsid w:val="00937D68"/>
    <w:rsid w:val="00937E56"/>
    <w:rsid w:val="009400B0"/>
    <w:rsid w:val="0094100A"/>
    <w:rsid w:val="00941610"/>
    <w:rsid w:val="0094185E"/>
    <w:rsid w:val="00941FE3"/>
    <w:rsid w:val="009425B4"/>
    <w:rsid w:val="009428AF"/>
    <w:rsid w:val="009428EA"/>
    <w:rsid w:val="009430EC"/>
    <w:rsid w:val="00944BD6"/>
    <w:rsid w:val="00944D75"/>
    <w:rsid w:val="00944DD1"/>
    <w:rsid w:val="00945B58"/>
    <w:rsid w:val="009460FE"/>
    <w:rsid w:val="00946BF5"/>
    <w:rsid w:val="009477FA"/>
    <w:rsid w:val="00950221"/>
    <w:rsid w:val="00950AFE"/>
    <w:rsid w:val="00951323"/>
    <w:rsid w:val="00952533"/>
    <w:rsid w:val="00952AED"/>
    <w:rsid w:val="009535DF"/>
    <w:rsid w:val="00953FEC"/>
    <w:rsid w:val="00955379"/>
    <w:rsid w:val="00955C55"/>
    <w:rsid w:val="00956ABB"/>
    <w:rsid w:val="0095728E"/>
    <w:rsid w:val="009572CA"/>
    <w:rsid w:val="00957635"/>
    <w:rsid w:val="0096011F"/>
    <w:rsid w:val="009606A8"/>
    <w:rsid w:val="009614AC"/>
    <w:rsid w:val="00962CBE"/>
    <w:rsid w:val="00963C0C"/>
    <w:rsid w:val="00963D4C"/>
    <w:rsid w:val="00964E4E"/>
    <w:rsid w:val="00965778"/>
    <w:rsid w:val="00965855"/>
    <w:rsid w:val="0096675C"/>
    <w:rsid w:val="00966C81"/>
    <w:rsid w:val="00967896"/>
    <w:rsid w:val="00970A88"/>
    <w:rsid w:val="00970D8B"/>
    <w:rsid w:val="009717B9"/>
    <w:rsid w:val="00972CE1"/>
    <w:rsid w:val="0097301F"/>
    <w:rsid w:val="00974976"/>
    <w:rsid w:val="009752F8"/>
    <w:rsid w:val="00975F73"/>
    <w:rsid w:val="00976962"/>
    <w:rsid w:val="00976E09"/>
    <w:rsid w:val="009773E4"/>
    <w:rsid w:val="00980616"/>
    <w:rsid w:val="00981904"/>
    <w:rsid w:val="0098233A"/>
    <w:rsid w:val="00982F78"/>
    <w:rsid w:val="0098310D"/>
    <w:rsid w:val="009836E2"/>
    <w:rsid w:val="00983984"/>
    <w:rsid w:val="00983D5E"/>
    <w:rsid w:val="00983F57"/>
    <w:rsid w:val="009846A3"/>
    <w:rsid w:val="00986676"/>
    <w:rsid w:val="00986E43"/>
    <w:rsid w:val="00986FB3"/>
    <w:rsid w:val="00990090"/>
    <w:rsid w:val="00990E69"/>
    <w:rsid w:val="00991A5F"/>
    <w:rsid w:val="009925C1"/>
    <w:rsid w:val="00992D69"/>
    <w:rsid w:val="00995176"/>
    <w:rsid w:val="0099648F"/>
    <w:rsid w:val="00996936"/>
    <w:rsid w:val="009970B6"/>
    <w:rsid w:val="00997A9D"/>
    <w:rsid w:val="009A4025"/>
    <w:rsid w:val="009A4D04"/>
    <w:rsid w:val="009A7325"/>
    <w:rsid w:val="009A7488"/>
    <w:rsid w:val="009A7EDE"/>
    <w:rsid w:val="009B00C8"/>
    <w:rsid w:val="009B03EC"/>
    <w:rsid w:val="009B0B40"/>
    <w:rsid w:val="009B0FE5"/>
    <w:rsid w:val="009B231B"/>
    <w:rsid w:val="009B2411"/>
    <w:rsid w:val="009B3220"/>
    <w:rsid w:val="009B348D"/>
    <w:rsid w:val="009B5A47"/>
    <w:rsid w:val="009B70CA"/>
    <w:rsid w:val="009B77F5"/>
    <w:rsid w:val="009B79B2"/>
    <w:rsid w:val="009B7B70"/>
    <w:rsid w:val="009C00C2"/>
    <w:rsid w:val="009C0A26"/>
    <w:rsid w:val="009C0CC6"/>
    <w:rsid w:val="009C0CDD"/>
    <w:rsid w:val="009C0CE4"/>
    <w:rsid w:val="009C166C"/>
    <w:rsid w:val="009C25E4"/>
    <w:rsid w:val="009C2607"/>
    <w:rsid w:val="009C26C6"/>
    <w:rsid w:val="009C2E8D"/>
    <w:rsid w:val="009C2F38"/>
    <w:rsid w:val="009C3438"/>
    <w:rsid w:val="009C3C79"/>
    <w:rsid w:val="009C3E4B"/>
    <w:rsid w:val="009C4786"/>
    <w:rsid w:val="009C47A5"/>
    <w:rsid w:val="009C56CF"/>
    <w:rsid w:val="009C7E52"/>
    <w:rsid w:val="009D0F2A"/>
    <w:rsid w:val="009D25C3"/>
    <w:rsid w:val="009D2F39"/>
    <w:rsid w:val="009D3677"/>
    <w:rsid w:val="009D3847"/>
    <w:rsid w:val="009D3FE6"/>
    <w:rsid w:val="009D4D5B"/>
    <w:rsid w:val="009D62EE"/>
    <w:rsid w:val="009D773C"/>
    <w:rsid w:val="009D7898"/>
    <w:rsid w:val="009E0AFA"/>
    <w:rsid w:val="009E1C66"/>
    <w:rsid w:val="009E3E72"/>
    <w:rsid w:val="009E5238"/>
    <w:rsid w:val="009E62EF"/>
    <w:rsid w:val="009E70D9"/>
    <w:rsid w:val="009F356A"/>
    <w:rsid w:val="009F4617"/>
    <w:rsid w:val="009F5438"/>
    <w:rsid w:val="009F5D68"/>
    <w:rsid w:val="009F6701"/>
    <w:rsid w:val="009F7C57"/>
    <w:rsid w:val="00A011C0"/>
    <w:rsid w:val="00A01505"/>
    <w:rsid w:val="00A0279C"/>
    <w:rsid w:val="00A027B9"/>
    <w:rsid w:val="00A02C0D"/>
    <w:rsid w:val="00A04941"/>
    <w:rsid w:val="00A04DB2"/>
    <w:rsid w:val="00A06766"/>
    <w:rsid w:val="00A06787"/>
    <w:rsid w:val="00A10677"/>
    <w:rsid w:val="00A1099E"/>
    <w:rsid w:val="00A10EBB"/>
    <w:rsid w:val="00A14DD0"/>
    <w:rsid w:val="00A16161"/>
    <w:rsid w:val="00A169FB"/>
    <w:rsid w:val="00A20347"/>
    <w:rsid w:val="00A203A8"/>
    <w:rsid w:val="00A2109D"/>
    <w:rsid w:val="00A210D9"/>
    <w:rsid w:val="00A21CE2"/>
    <w:rsid w:val="00A2241B"/>
    <w:rsid w:val="00A225FF"/>
    <w:rsid w:val="00A233C6"/>
    <w:rsid w:val="00A23A3F"/>
    <w:rsid w:val="00A240B6"/>
    <w:rsid w:val="00A24825"/>
    <w:rsid w:val="00A24ABA"/>
    <w:rsid w:val="00A24E03"/>
    <w:rsid w:val="00A25BED"/>
    <w:rsid w:val="00A2601E"/>
    <w:rsid w:val="00A27697"/>
    <w:rsid w:val="00A311DC"/>
    <w:rsid w:val="00A320A1"/>
    <w:rsid w:val="00A32B1A"/>
    <w:rsid w:val="00A335F4"/>
    <w:rsid w:val="00A34A67"/>
    <w:rsid w:val="00A35143"/>
    <w:rsid w:val="00A361BB"/>
    <w:rsid w:val="00A3686D"/>
    <w:rsid w:val="00A4045E"/>
    <w:rsid w:val="00A406F4"/>
    <w:rsid w:val="00A40E51"/>
    <w:rsid w:val="00A40F7F"/>
    <w:rsid w:val="00A40F94"/>
    <w:rsid w:val="00A442DE"/>
    <w:rsid w:val="00A44728"/>
    <w:rsid w:val="00A447FC"/>
    <w:rsid w:val="00A45E4C"/>
    <w:rsid w:val="00A47356"/>
    <w:rsid w:val="00A5040C"/>
    <w:rsid w:val="00A505D5"/>
    <w:rsid w:val="00A512C9"/>
    <w:rsid w:val="00A515BA"/>
    <w:rsid w:val="00A51BBB"/>
    <w:rsid w:val="00A51FB4"/>
    <w:rsid w:val="00A52AB1"/>
    <w:rsid w:val="00A53352"/>
    <w:rsid w:val="00A53585"/>
    <w:rsid w:val="00A544EC"/>
    <w:rsid w:val="00A54EA8"/>
    <w:rsid w:val="00A54ED1"/>
    <w:rsid w:val="00A55CDA"/>
    <w:rsid w:val="00A600CC"/>
    <w:rsid w:val="00A60948"/>
    <w:rsid w:val="00A60BD0"/>
    <w:rsid w:val="00A618A7"/>
    <w:rsid w:val="00A620F9"/>
    <w:rsid w:val="00A6269C"/>
    <w:rsid w:val="00A63E15"/>
    <w:rsid w:val="00A64562"/>
    <w:rsid w:val="00A649D8"/>
    <w:rsid w:val="00A65BDD"/>
    <w:rsid w:val="00A66F4F"/>
    <w:rsid w:val="00A67695"/>
    <w:rsid w:val="00A67F9C"/>
    <w:rsid w:val="00A7226A"/>
    <w:rsid w:val="00A74406"/>
    <w:rsid w:val="00A74DCD"/>
    <w:rsid w:val="00A75BB4"/>
    <w:rsid w:val="00A7664B"/>
    <w:rsid w:val="00A808CE"/>
    <w:rsid w:val="00A8199D"/>
    <w:rsid w:val="00A82E0F"/>
    <w:rsid w:val="00A83567"/>
    <w:rsid w:val="00A841A3"/>
    <w:rsid w:val="00A8587C"/>
    <w:rsid w:val="00A85E8A"/>
    <w:rsid w:val="00A92855"/>
    <w:rsid w:val="00A94419"/>
    <w:rsid w:val="00A945F0"/>
    <w:rsid w:val="00A947B7"/>
    <w:rsid w:val="00A95211"/>
    <w:rsid w:val="00A95BF6"/>
    <w:rsid w:val="00A95E32"/>
    <w:rsid w:val="00A96A3E"/>
    <w:rsid w:val="00A96FFA"/>
    <w:rsid w:val="00AA0AD7"/>
    <w:rsid w:val="00AA11C5"/>
    <w:rsid w:val="00AA11CD"/>
    <w:rsid w:val="00AA1554"/>
    <w:rsid w:val="00AA248F"/>
    <w:rsid w:val="00AA313D"/>
    <w:rsid w:val="00AA31CE"/>
    <w:rsid w:val="00AA4187"/>
    <w:rsid w:val="00AA4E39"/>
    <w:rsid w:val="00AA5339"/>
    <w:rsid w:val="00AB0265"/>
    <w:rsid w:val="00AB0658"/>
    <w:rsid w:val="00AB16F6"/>
    <w:rsid w:val="00AB27AA"/>
    <w:rsid w:val="00AB4393"/>
    <w:rsid w:val="00AB45C0"/>
    <w:rsid w:val="00AB54D3"/>
    <w:rsid w:val="00AB5C64"/>
    <w:rsid w:val="00AB72EB"/>
    <w:rsid w:val="00AB7C5B"/>
    <w:rsid w:val="00AB7CB0"/>
    <w:rsid w:val="00AC076F"/>
    <w:rsid w:val="00AC0E10"/>
    <w:rsid w:val="00AC42FB"/>
    <w:rsid w:val="00AC489C"/>
    <w:rsid w:val="00AC4B01"/>
    <w:rsid w:val="00AC5401"/>
    <w:rsid w:val="00AC5BC7"/>
    <w:rsid w:val="00AC6776"/>
    <w:rsid w:val="00AD09B5"/>
    <w:rsid w:val="00AD0A2E"/>
    <w:rsid w:val="00AD0AD6"/>
    <w:rsid w:val="00AD22FD"/>
    <w:rsid w:val="00AD255F"/>
    <w:rsid w:val="00AD3096"/>
    <w:rsid w:val="00AD36C2"/>
    <w:rsid w:val="00AD37D6"/>
    <w:rsid w:val="00AD3ABD"/>
    <w:rsid w:val="00AD482B"/>
    <w:rsid w:val="00AD54E2"/>
    <w:rsid w:val="00AD5A2F"/>
    <w:rsid w:val="00AD5A3D"/>
    <w:rsid w:val="00AD5D08"/>
    <w:rsid w:val="00AD5F02"/>
    <w:rsid w:val="00AD5F73"/>
    <w:rsid w:val="00AD67D7"/>
    <w:rsid w:val="00AD6AC0"/>
    <w:rsid w:val="00AE0DF6"/>
    <w:rsid w:val="00AE1A24"/>
    <w:rsid w:val="00AE1D1F"/>
    <w:rsid w:val="00AE2450"/>
    <w:rsid w:val="00AE2A3A"/>
    <w:rsid w:val="00AE2B7A"/>
    <w:rsid w:val="00AE3874"/>
    <w:rsid w:val="00AE3E21"/>
    <w:rsid w:val="00AE4801"/>
    <w:rsid w:val="00AE5453"/>
    <w:rsid w:val="00AE6FB8"/>
    <w:rsid w:val="00AE77B4"/>
    <w:rsid w:val="00AF0E99"/>
    <w:rsid w:val="00AF0FE0"/>
    <w:rsid w:val="00AF22E8"/>
    <w:rsid w:val="00AF4618"/>
    <w:rsid w:val="00AF463C"/>
    <w:rsid w:val="00AF522E"/>
    <w:rsid w:val="00AF5CB8"/>
    <w:rsid w:val="00AF6D38"/>
    <w:rsid w:val="00B0006B"/>
    <w:rsid w:val="00B00708"/>
    <w:rsid w:val="00B007C0"/>
    <w:rsid w:val="00B008DE"/>
    <w:rsid w:val="00B01C21"/>
    <w:rsid w:val="00B04F1B"/>
    <w:rsid w:val="00B04FC2"/>
    <w:rsid w:val="00B0518B"/>
    <w:rsid w:val="00B071C3"/>
    <w:rsid w:val="00B100BD"/>
    <w:rsid w:val="00B10C76"/>
    <w:rsid w:val="00B1300B"/>
    <w:rsid w:val="00B13B1B"/>
    <w:rsid w:val="00B1474C"/>
    <w:rsid w:val="00B147A8"/>
    <w:rsid w:val="00B14944"/>
    <w:rsid w:val="00B15186"/>
    <w:rsid w:val="00B1532B"/>
    <w:rsid w:val="00B163DC"/>
    <w:rsid w:val="00B17020"/>
    <w:rsid w:val="00B17773"/>
    <w:rsid w:val="00B20441"/>
    <w:rsid w:val="00B21824"/>
    <w:rsid w:val="00B22C27"/>
    <w:rsid w:val="00B24F5A"/>
    <w:rsid w:val="00B2511A"/>
    <w:rsid w:val="00B252BE"/>
    <w:rsid w:val="00B25789"/>
    <w:rsid w:val="00B27248"/>
    <w:rsid w:val="00B27711"/>
    <w:rsid w:val="00B277D5"/>
    <w:rsid w:val="00B30EF9"/>
    <w:rsid w:val="00B33016"/>
    <w:rsid w:val="00B337E3"/>
    <w:rsid w:val="00B34B47"/>
    <w:rsid w:val="00B35A4E"/>
    <w:rsid w:val="00B35AFB"/>
    <w:rsid w:val="00B35BF5"/>
    <w:rsid w:val="00B35C34"/>
    <w:rsid w:val="00B366C2"/>
    <w:rsid w:val="00B36CF2"/>
    <w:rsid w:val="00B3717A"/>
    <w:rsid w:val="00B37F06"/>
    <w:rsid w:val="00B4021C"/>
    <w:rsid w:val="00B43E38"/>
    <w:rsid w:val="00B43F65"/>
    <w:rsid w:val="00B44390"/>
    <w:rsid w:val="00B44C27"/>
    <w:rsid w:val="00B4537B"/>
    <w:rsid w:val="00B46E00"/>
    <w:rsid w:val="00B47C25"/>
    <w:rsid w:val="00B500CB"/>
    <w:rsid w:val="00B5013A"/>
    <w:rsid w:val="00B50BFF"/>
    <w:rsid w:val="00B5100D"/>
    <w:rsid w:val="00B51CA3"/>
    <w:rsid w:val="00B520C5"/>
    <w:rsid w:val="00B5221D"/>
    <w:rsid w:val="00B52328"/>
    <w:rsid w:val="00B53348"/>
    <w:rsid w:val="00B54838"/>
    <w:rsid w:val="00B54ACC"/>
    <w:rsid w:val="00B54AF6"/>
    <w:rsid w:val="00B571F7"/>
    <w:rsid w:val="00B5780F"/>
    <w:rsid w:val="00B60678"/>
    <w:rsid w:val="00B61699"/>
    <w:rsid w:val="00B6313A"/>
    <w:rsid w:val="00B637BB"/>
    <w:rsid w:val="00B646E0"/>
    <w:rsid w:val="00B6622F"/>
    <w:rsid w:val="00B66945"/>
    <w:rsid w:val="00B6712F"/>
    <w:rsid w:val="00B67E7C"/>
    <w:rsid w:val="00B70C7D"/>
    <w:rsid w:val="00B72180"/>
    <w:rsid w:val="00B72714"/>
    <w:rsid w:val="00B73A8B"/>
    <w:rsid w:val="00B73F6E"/>
    <w:rsid w:val="00B74274"/>
    <w:rsid w:val="00B75EB5"/>
    <w:rsid w:val="00B8051B"/>
    <w:rsid w:val="00B807ED"/>
    <w:rsid w:val="00B8225C"/>
    <w:rsid w:val="00B82443"/>
    <w:rsid w:val="00B85DFE"/>
    <w:rsid w:val="00B8611E"/>
    <w:rsid w:val="00B927DB"/>
    <w:rsid w:val="00B92BA1"/>
    <w:rsid w:val="00B931F3"/>
    <w:rsid w:val="00B93B9C"/>
    <w:rsid w:val="00B9456F"/>
    <w:rsid w:val="00B94880"/>
    <w:rsid w:val="00B94D0F"/>
    <w:rsid w:val="00B950A0"/>
    <w:rsid w:val="00B95871"/>
    <w:rsid w:val="00B95D5B"/>
    <w:rsid w:val="00B97E53"/>
    <w:rsid w:val="00B97EC7"/>
    <w:rsid w:val="00BA1D6B"/>
    <w:rsid w:val="00BA2236"/>
    <w:rsid w:val="00BA27C6"/>
    <w:rsid w:val="00BA2FEA"/>
    <w:rsid w:val="00BA354E"/>
    <w:rsid w:val="00BA3781"/>
    <w:rsid w:val="00BA4254"/>
    <w:rsid w:val="00BA5753"/>
    <w:rsid w:val="00BA63DC"/>
    <w:rsid w:val="00BA784C"/>
    <w:rsid w:val="00BA7D1F"/>
    <w:rsid w:val="00BB0A57"/>
    <w:rsid w:val="00BB176C"/>
    <w:rsid w:val="00BB19DA"/>
    <w:rsid w:val="00BB1E94"/>
    <w:rsid w:val="00BB2992"/>
    <w:rsid w:val="00BB358A"/>
    <w:rsid w:val="00BB68AA"/>
    <w:rsid w:val="00BB6CBF"/>
    <w:rsid w:val="00BB6F4C"/>
    <w:rsid w:val="00BC12D5"/>
    <w:rsid w:val="00BC1792"/>
    <w:rsid w:val="00BC2559"/>
    <w:rsid w:val="00BC26DB"/>
    <w:rsid w:val="00BC2D43"/>
    <w:rsid w:val="00BC4D31"/>
    <w:rsid w:val="00BC5AAB"/>
    <w:rsid w:val="00BC6169"/>
    <w:rsid w:val="00BC6A17"/>
    <w:rsid w:val="00BC6BBB"/>
    <w:rsid w:val="00BC6D67"/>
    <w:rsid w:val="00BC718E"/>
    <w:rsid w:val="00BC7430"/>
    <w:rsid w:val="00BC7C35"/>
    <w:rsid w:val="00BD0622"/>
    <w:rsid w:val="00BD120D"/>
    <w:rsid w:val="00BD20AB"/>
    <w:rsid w:val="00BD21F6"/>
    <w:rsid w:val="00BD2966"/>
    <w:rsid w:val="00BD3068"/>
    <w:rsid w:val="00BD321F"/>
    <w:rsid w:val="00BD3298"/>
    <w:rsid w:val="00BD4A5B"/>
    <w:rsid w:val="00BD545E"/>
    <w:rsid w:val="00BD600D"/>
    <w:rsid w:val="00BE017A"/>
    <w:rsid w:val="00BE0E6E"/>
    <w:rsid w:val="00BE1A56"/>
    <w:rsid w:val="00BE1ED1"/>
    <w:rsid w:val="00BE209C"/>
    <w:rsid w:val="00BE30C6"/>
    <w:rsid w:val="00BE30C9"/>
    <w:rsid w:val="00BE386E"/>
    <w:rsid w:val="00BE3C18"/>
    <w:rsid w:val="00BE510E"/>
    <w:rsid w:val="00BE5942"/>
    <w:rsid w:val="00BE6490"/>
    <w:rsid w:val="00BE6AC4"/>
    <w:rsid w:val="00BE6D13"/>
    <w:rsid w:val="00BE6E4D"/>
    <w:rsid w:val="00BE71C1"/>
    <w:rsid w:val="00BE7938"/>
    <w:rsid w:val="00BE79EB"/>
    <w:rsid w:val="00BF1383"/>
    <w:rsid w:val="00BF2468"/>
    <w:rsid w:val="00BF2993"/>
    <w:rsid w:val="00BF46A2"/>
    <w:rsid w:val="00BF481C"/>
    <w:rsid w:val="00BF4A13"/>
    <w:rsid w:val="00BF4DCF"/>
    <w:rsid w:val="00BF5848"/>
    <w:rsid w:val="00BF65EF"/>
    <w:rsid w:val="00BF7D5A"/>
    <w:rsid w:val="00C0190D"/>
    <w:rsid w:val="00C01F4E"/>
    <w:rsid w:val="00C02E86"/>
    <w:rsid w:val="00C05C52"/>
    <w:rsid w:val="00C060A5"/>
    <w:rsid w:val="00C06900"/>
    <w:rsid w:val="00C06FC7"/>
    <w:rsid w:val="00C070E5"/>
    <w:rsid w:val="00C078E1"/>
    <w:rsid w:val="00C1232F"/>
    <w:rsid w:val="00C13C77"/>
    <w:rsid w:val="00C1406C"/>
    <w:rsid w:val="00C14264"/>
    <w:rsid w:val="00C14F24"/>
    <w:rsid w:val="00C1585E"/>
    <w:rsid w:val="00C16CC2"/>
    <w:rsid w:val="00C16D30"/>
    <w:rsid w:val="00C176CB"/>
    <w:rsid w:val="00C17ADA"/>
    <w:rsid w:val="00C20353"/>
    <w:rsid w:val="00C21216"/>
    <w:rsid w:val="00C22110"/>
    <w:rsid w:val="00C2263E"/>
    <w:rsid w:val="00C23AF8"/>
    <w:rsid w:val="00C24C18"/>
    <w:rsid w:val="00C2785F"/>
    <w:rsid w:val="00C30F1A"/>
    <w:rsid w:val="00C31443"/>
    <w:rsid w:val="00C314FE"/>
    <w:rsid w:val="00C31BF1"/>
    <w:rsid w:val="00C3310A"/>
    <w:rsid w:val="00C355DF"/>
    <w:rsid w:val="00C35B6F"/>
    <w:rsid w:val="00C36653"/>
    <w:rsid w:val="00C376A0"/>
    <w:rsid w:val="00C40026"/>
    <w:rsid w:val="00C4099C"/>
    <w:rsid w:val="00C416E7"/>
    <w:rsid w:val="00C41714"/>
    <w:rsid w:val="00C422FC"/>
    <w:rsid w:val="00C4239C"/>
    <w:rsid w:val="00C42DCD"/>
    <w:rsid w:val="00C43BF9"/>
    <w:rsid w:val="00C45227"/>
    <w:rsid w:val="00C453CF"/>
    <w:rsid w:val="00C45540"/>
    <w:rsid w:val="00C45C88"/>
    <w:rsid w:val="00C45EC6"/>
    <w:rsid w:val="00C47611"/>
    <w:rsid w:val="00C50C64"/>
    <w:rsid w:val="00C51795"/>
    <w:rsid w:val="00C51A26"/>
    <w:rsid w:val="00C52996"/>
    <w:rsid w:val="00C54044"/>
    <w:rsid w:val="00C55FBA"/>
    <w:rsid w:val="00C560EE"/>
    <w:rsid w:val="00C56F09"/>
    <w:rsid w:val="00C56FB5"/>
    <w:rsid w:val="00C57899"/>
    <w:rsid w:val="00C57D2D"/>
    <w:rsid w:val="00C612F9"/>
    <w:rsid w:val="00C62FBA"/>
    <w:rsid w:val="00C639B9"/>
    <w:rsid w:val="00C63C59"/>
    <w:rsid w:val="00C66107"/>
    <w:rsid w:val="00C661E9"/>
    <w:rsid w:val="00C706F0"/>
    <w:rsid w:val="00C71697"/>
    <w:rsid w:val="00C7185C"/>
    <w:rsid w:val="00C71AA2"/>
    <w:rsid w:val="00C72779"/>
    <w:rsid w:val="00C72C82"/>
    <w:rsid w:val="00C73C4D"/>
    <w:rsid w:val="00C73DAE"/>
    <w:rsid w:val="00C747AB"/>
    <w:rsid w:val="00C7517F"/>
    <w:rsid w:val="00C751B8"/>
    <w:rsid w:val="00C765B8"/>
    <w:rsid w:val="00C76846"/>
    <w:rsid w:val="00C76DF8"/>
    <w:rsid w:val="00C7713A"/>
    <w:rsid w:val="00C77FF2"/>
    <w:rsid w:val="00C8353F"/>
    <w:rsid w:val="00C8624B"/>
    <w:rsid w:val="00C86A9F"/>
    <w:rsid w:val="00C874B6"/>
    <w:rsid w:val="00C876DB"/>
    <w:rsid w:val="00C91FE0"/>
    <w:rsid w:val="00C9239A"/>
    <w:rsid w:val="00C92CC9"/>
    <w:rsid w:val="00C93550"/>
    <w:rsid w:val="00C941D8"/>
    <w:rsid w:val="00C942E1"/>
    <w:rsid w:val="00C95405"/>
    <w:rsid w:val="00C966BD"/>
    <w:rsid w:val="00C96B39"/>
    <w:rsid w:val="00C9700A"/>
    <w:rsid w:val="00C97C59"/>
    <w:rsid w:val="00CA0947"/>
    <w:rsid w:val="00CA10CC"/>
    <w:rsid w:val="00CA1F14"/>
    <w:rsid w:val="00CA3301"/>
    <w:rsid w:val="00CA54D4"/>
    <w:rsid w:val="00CA5CD3"/>
    <w:rsid w:val="00CA6030"/>
    <w:rsid w:val="00CA790A"/>
    <w:rsid w:val="00CB19CD"/>
    <w:rsid w:val="00CB4684"/>
    <w:rsid w:val="00CB7D82"/>
    <w:rsid w:val="00CC01A9"/>
    <w:rsid w:val="00CC1CE0"/>
    <w:rsid w:val="00CC35D5"/>
    <w:rsid w:val="00CC37CF"/>
    <w:rsid w:val="00CC5091"/>
    <w:rsid w:val="00CC60A2"/>
    <w:rsid w:val="00CC62E3"/>
    <w:rsid w:val="00CC65F7"/>
    <w:rsid w:val="00CC78EC"/>
    <w:rsid w:val="00CC7E7F"/>
    <w:rsid w:val="00CC7F95"/>
    <w:rsid w:val="00CD04E8"/>
    <w:rsid w:val="00CD0F9E"/>
    <w:rsid w:val="00CD247E"/>
    <w:rsid w:val="00CD2ED1"/>
    <w:rsid w:val="00CD3D86"/>
    <w:rsid w:val="00CD460D"/>
    <w:rsid w:val="00CD4F3D"/>
    <w:rsid w:val="00CD53A8"/>
    <w:rsid w:val="00CD6D50"/>
    <w:rsid w:val="00CD7301"/>
    <w:rsid w:val="00CD77B6"/>
    <w:rsid w:val="00CD77BF"/>
    <w:rsid w:val="00CE05CE"/>
    <w:rsid w:val="00CE0FC1"/>
    <w:rsid w:val="00CE1439"/>
    <w:rsid w:val="00CE29B3"/>
    <w:rsid w:val="00CE47A1"/>
    <w:rsid w:val="00CE6523"/>
    <w:rsid w:val="00CE7302"/>
    <w:rsid w:val="00CF0BCC"/>
    <w:rsid w:val="00CF0CC6"/>
    <w:rsid w:val="00CF30FA"/>
    <w:rsid w:val="00CF436B"/>
    <w:rsid w:val="00CF543E"/>
    <w:rsid w:val="00CF5FEE"/>
    <w:rsid w:val="00CF79F1"/>
    <w:rsid w:val="00D018D1"/>
    <w:rsid w:val="00D01F97"/>
    <w:rsid w:val="00D02639"/>
    <w:rsid w:val="00D02F75"/>
    <w:rsid w:val="00D03B41"/>
    <w:rsid w:val="00D04425"/>
    <w:rsid w:val="00D045F6"/>
    <w:rsid w:val="00D04A71"/>
    <w:rsid w:val="00D04B37"/>
    <w:rsid w:val="00D05EF4"/>
    <w:rsid w:val="00D070AD"/>
    <w:rsid w:val="00D07C89"/>
    <w:rsid w:val="00D10781"/>
    <w:rsid w:val="00D11152"/>
    <w:rsid w:val="00D11867"/>
    <w:rsid w:val="00D1288C"/>
    <w:rsid w:val="00D12C22"/>
    <w:rsid w:val="00D13738"/>
    <w:rsid w:val="00D1383D"/>
    <w:rsid w:val="00D13847"/>
    <w:rsid w:val="00D13CAE"/>
    <w:rsid w:val="00D13D07"/>
    <w:rsid w:val="00D1617C"/>
    <w:rsid w:val="00D16FF8"/>
    <w:rsid w:val="00D1732F"/>
    <w:rsid w:val="00D20718"/>
    <w:rsid w:val="00D20B4C"/>
    <w:rsid w:val="00D20CA2"/>
    <w:rsid w:val="00D21A07"/>
    <w:rsid w:val="00D22795"/>
    <w:rsid w:val="00D22EBD"/>
    <w:rsid w:val="00D23970"/>
    <w:rsid w:val="00D241CB"/>
    <w:rsid w:val="00D24628"/>
    <w:rsid w:val="00D251B8"/>
    <w:rsid w:val="00D256EF"/>
    <w:rsid w:val="00D25CA5"/>
    <w:rsid w:val="00D25D55"/>
    <w:rsid w:val="00D25E11"/>
    <w:rsid w:val="00D26A9E"/>
    <w:rsid w:val="00D27A86"/>
    <w:rsid w:val="00D27AFA"/>
    <w:rsid w:val="00D30A8A"/>
    <w:rsid w:val="00D33DF4"/>
    <w:rsid w:val="00D340A8"/>
    <w:rsid w:val="00D35813"/>
    <w:rsid w:val="00D36F3D"/>
    <w:rsid w:val="00D404E2"/>
    <w:rsid w:val="00D40DF4"/>
    <w:rsid w:val="00D4298D"/>
    <w:rsid w:val="00D43113"/>
    <w:rsid w:val="00D43581"/>
    <w:rsid w:val="00D43844"/>
    <w:rsid w:val="00D44148"/>
    <w:rsid w:val="00D4438E"/>
    <w:rsid w:val="00D44826"/>
    <w:rsid w:val="00D45338"/>
    <w:rsid w:val="00D4571D"/>
    <w:rsid w:val="00D45856"/>
    <w:rsid w:val="00D460CE"/>
    <w:rsid w:val="00D46D50"/>
    <w:rsid w:val="00D47F6F"/>
    <w:rsid w:val="00D5113C"/>
    <w:rsid w:val="00D511F9"/>
    <w:rsid w:val="00D51318"/>
    <w:rsid w:val="00D51A03"/>
    <w:rsid w:val="00D51C44"/>
    <w:rsid w:val="00D51E1C"/>
    <w:rsid w:val="00D52654"/>
    <w:rsid w:val="00D52A19"/>
    <w:rsid w:val="00D537C5"/>
    <w:rsid w:val="00D537F3"/>
    <w:rsid w:val="00D53E5C"/>
    <w:rsid w:val="00D54BE6"/>
    <w:rsid w:val="00D55716"/>
    <w:rsid w:val="00D55CFA"/>
    <w:rsid w:val="00D57349"/>
    <w:rsid w:val="00D57E7C"/>
    <w:rsid w:val="00D60A20"/>
    <w:rsid w:val="00D60CE4"/>
    <w:rsid w:val="00D610AB"/>
    <w:rsid w:val="00D611D6"/>
    <w:rsid w:val="00D61F67"/>
    <w:rsid w:val="00D62136"/>
    <w:rsid w:val="00D6329E"/>
    <w:rsid w:val="00D65996"/>
    <w:rsid w:val="00D66575"/>
    <w:rsid w:val="00D67A4D"/>
    <w:rsid w:val="00D702AD"/>
    <w:rsid w:val="00D7058F"/>
    <w:rsid w:val="00D7101E"/>
    <w:rsid w:val="00D7192B"/>
    <w:rsid w:val="00D71C3B"/>
    <w:rsid w:val="00D747A8"/>
    <w:rsid w:val="00D7480C"/>
    <w:rsid w:val="00D74DC3"/>
    <w:rsid w:val="00D74DD0"/>
    <w:rsid w:val="00D75DC0"/>
    <w:rsid w:val="00D811E1"/>
    <w:rsid w:val="00D81763"/>
    <w:rsid w:val="00D81DF6"/>
    <w:rsid w:val="00D820B6"/>
    <w:rsid w:val="00D826BD"/>
    <w:rsid w:val="00D82D74"/>
    <w:rsid w:val="00D8346C"/>
    <w:rsid w:val="00D8346F"/>
    <w:rsid w:val="00D84F04"/>
    <w:rsid w:val="00D8726E"/>
    <w:rsid w:val="00D90C5C"/>
    <w:rsid w:val="00D90D16"/>
    <w:rsid w:val="00D91685"/>
    <w:rsid w:val="00D9221D"/>
    <w:rsid w:val="00D926A2"/>
    <w:rsid w:val="00D9278C"/>
    <w:rsid w:val="00D927DF"/>
    <w:rsid w:val="00D92BEF"/>
    <w:rsid w:val="00D93AF2"/>
    <w:rsid w:val="00D947E4"/>
    <w:rsid w:val="00D957D2"/>
    <w:rsid w:val="00D961B3"/>
    <w:rsid w:val="00D96488"/>
    <w:rsid w:val="00D96774"/>
    <w:rsid w:val="00D9697A"/>
    <w:rsid w:val="00D97C8D"/>
    <w:rsid w:val="00DA022C"/>
    <w:rsid w:val="00DA10C0"/>
    <w:rsid w:val="00DA22B0"/>
    <w:rsid w:val="00DA254F"/>
    <w:rsid w:val="00DA2A31"/>
    <w:rsid w:val="00DA4776"/>
    <w:rsid w:val="00DA49D5"/>
    <w:rsid w:val="00DA4F4D"/>
    <w:rsid w:val="00DA4F65"/>
    <w:rsid w:val="00DA58DD"/>
    <w:rsid w:val="00DA676E"/>
    <w:rsid w:val="00DB08C8"/>
    <w:rsid w:val="00DB0A9E"/>
    <w:rsid w:val="00DB0FF8"/>
    <w:rsid w:val="00DB1FAD"/>
    <w:rsid w:val="00DB356A"/>
    <w:rsid w:val="00DB3980"/>
    <w:rsid w:val="00DB3E2E"/>
    <w:rsid w:val="00DB5D1D"/>
    <w:rsid w:val="00DB700D"/>
    <w:rsid w:val="00DB7DD8"/>
    <w:rsid w:val="00DC2F41"/>
    <w:rsid w:val="00DC39C7"/>
    <w:rsid w:val="00DC4072"/>
    <w:rsid w:val="00DC50EE"/>
    <w:rsid w:val="00DC52C1"/>
    <w:rsid w:val="00DC710B"/>
    <w:rsid w:val="00DC79FA"/>
    <w:rsid w:val="00DC7B0A"/>
    <w:rsid w:val="00DD010A"/>
    <w:rsid w:val="00DD154E"/>
    <w:rsid w:val="00DD2A6C"/>
    <w:rsid w:val="00DD2E24"/>
    <w:rsid w:val="00DD4A65"/>
    <w:rsid w:val="00DD4EE4"/>
    <w:rsid w:val="00DD4EF6"/>
    <w:rsid w:val="00DD553F"/>
    <w:rsid w:val="00DD5E2C"/>
    <w:rsid w:val="00DD6187"/>
    <w:rsid w:val="00DD78C3"/>
    <w:rsid w:val="00DE1900"/>
    <w:rsid w:val="00DE2A10"/>
    <w:rsid w:val="00DE2D63"/>
    <w:rsid w:val="00DE35B7"/>
    <w:rsid w:val="00DE42FC"/>
    <w:rsid w:val="00DE4E2B"/>
    <w:rsid w:val="00DE65BE"/>
    <w:rsid w:val="00DF1C13"/>
    <w:rsid w:val="00DF2F53"/>
    <w:rsid w:val="00DF3FA7"/>
    <w:rsid w:val="00DF44ED"/>
    <w:rsid w:val="00DF4DD1"/>
    <w:rsid w:val="00DF5E91"/>
    <w:rsid w:val="00E019A2"/>
    <w:rsid w:val="00E02559"/>
    <w:rsid w:val="00E02F8C"/>
    <w:rsid w:val="00E03456"/>
    <w:rsid w:val="00E03498"/>
    <w:rsid w:val="00E03DE4"/>
    <w:rsid w:val="00E04D4A"/>
    <w:rsid w:val="00E0554E"/>
    <w:rsid w:val="00E058FD"/>
    <w:rsid w:val="00E07CC7"/>
    <w:rsid w:val="00E118A0"/>
    <w:rsid w:val="00E12AEB"/>
    <w:rsid w:val="00E152F3"/>
    <w:rsid w:val="00E16853"/>
    <w:rsid w:val="00E20F70"/>
    <w:rsid w:val="00E21023"/>
    <w:rsid w:val="00E215A6"/>
    <w:rsid w:val="00E216FD"/>
    <w:rsid w:val="00E2170E"/>
    <w:rsid w:val="00E21B3F"/>
    <w:rsid w:val="00E240D8"/>
    <w:rsid w:val="00E24E15"/>
    <w:rsid w:val="00E250DB"/>
    <w:rsid w:val="00E26DCF"/>
    <w:rsid w:val="00E2752B"/>
    <w:rsid w:val="00E27E83"/>
    <w:rsid w:val="00E303A5"/>
    <w:rsid w:val="00E30408"/>
    <w:rsid w:val="00E3149C"/>
    <w:rsid w:val="00E316EA"/>
    <w:rsid w:val="00E31DC5"/>
    <w:rsid w:val="00E33BE7"/>
    <w:rsid w:val="00E33F0F"/>
    <w:rsid w:val="00E34965"/>
    <w:rsid w:val="00E34D54"/>
    <w:rsid w:val="00E360FD"/>
    <w:rsid w:val="00E36D01"/>
    <w:rsid w:val="00E37C74"/>
    <w:rsid w:val="00E37D5D"/>
    <w:rsid w:val="00E40113"/>
    <w:rsid w:val="00E40907"/>
    <w:rsid w:val="00E40F29"/>
    <w:rsid w:val="00E4129A"/>
    <w:rsid w:val="00E42DF8"/>
    <w:rsid w:val="00E43115"/>
    <w:rsid w:val="00E436AC"/>
    <w:rsid w:val="00E45340"/>
    <w:rsid w:val="00E4702C"/>
    <w:rsid w:val="00E47E96"/>
    <w:rsid w:val="00E50506"/>
    <w:rsid w:val="00E50ABC"/>
    <w:rsid w:val="00E51582"/>
    <w:rsid w:val="00E52B7A"/>
    <w:rsid w:val="00E55696"/>
    <w:rsid w:val="00E56B43"/>
    <w:rsid w:val="00E56FC6"/>
    <w:rsid w:val="00E579D0"/>
    <w:rsid w:val="00E60BEC"/>
    <w:rsid w:val="00E61582"/>
    <w:rsid w:val="00E6286D"/>
    <w:rsid w:val="00E63363"/>
    <w:rsid w:val="00E63E16"/>
    <w:rsid w:val="00E64671"/>
    <w:rsid w:val="00E654B4"/>
    <w:rsid w:val="00E659BC"/>
    <w:rsid w:val="00E65FDE"/>
    <w:rsid w:val="00E70B1F"/>
    <w:rsid w:val="00E70F13"/>
    <w:rsid w:val="00E716FD"/>
    <w:rsid w:val="00E7266D"/>
    <w:rsid w:val="00E732D6"/>
    <w:rsid w:val="00E74728"/>
    <w:rsid w:val="00E74E22"/>
    <w:rsid w:val="00E7524A"/>
    <w:rsid w:val="00E75A5B"/>
    <w:rsid w:val="00E82B66"/>
    <w:rsid w:val="00E837D1"/>
    <w:rsid w:val="00E83A9F"/>
    <w:rsid w:val="00E83AED"/>
    <w:rsid w:val="00E84BAC"/>
    <w:rsid w:val="00E8544B"/>
    <w:rsid w:val="00E868FA"/>
    <w:rsid w:val="00E87CFC"/>
    <w:rsid w:val="00E91404"/>
    <w:rsid w:val="00E9267D"/>
    <w:rsid w:val="00E9282E"/>
    <w:rsid w:val="00E92F99"/>
    <w:rsid w:val="00E92FE7"/>
    <w:rsid w:val="00E930D2"/>
    <w:rsid w:val="00E936E9"/>
    <w:rsid w:val="00E94824"/>
    <w:rsid w:val="00E948F6"/>
    <w:rsid w:val="00E9495D"/>
    <w:rsid w:val="00E94FF4"/>
    <w:rsid w:val="00E95785"/>
    <w:rsid w:val="00E958F6"/>
    <w:rsid w:val="00E9593A"/>
    <w:rsid w:val="00E96F0A"/>
    <w:rsid w:val="00E97824"/>
    <w:rsid w:val="00E97B41"/>
    <w:rsid w:val="00EA0F82"/>
    <w:rsid w:val="00EA151D"/>
    <w:rsid w:val="00EA241B"/>
    <w:rsid w:val="00EA31EB"/>
    <w:rsid w:val="00EA388A"/>
    <w:rsid w:val="00EA4C4E"/>
    <w:rsid w:val="00EA5226"/>
    <w:rsid w:val="00EA580A"/>
    <w:rsid w:val="00EA60D9"/>
    <w:rsid w:val="00EA6879"/>
    <w:rsid w:val="00EB12F8"/>
    <w:rsid w:val="00EB13C0"/>
    <w:rsid w:val="00EB1508"/>
    <w:rsid w:val="00EB1896"/>
    <w:rsid w:val="00EB22CD"/>
    <w:rsid w:val="00EB44FA"/>
    <w:rsid w:val="00EB47C7"/>
    <w:rsid w:val="00EB5417"/>
    <w:rsid w:val="00EB5468"/>
    <w:rsid w:val="00EB5484"/>
    <w:rsid w:val="00EB59AB"/>
    <w:rsid w:val="00EB6020"/>
    <w:rsid w:val="00EB6377"/>
    <w:rsid w:val="00EB6886"/>
    <w:rsid w:val="00EB71C9"/>
    <w:rsid w:val="00EB7C43"/>
    <w:rsid w:val="00EC0E9A"/>
    <w:rsid w:val="00EC10FD"/>
    <w:rsid w:val="00EC18FF"/>
    <w:rsid w:val="00EC1C33"/>
    <w:rsid w:val="00EC36C0"/>
    <w:rsid w:val="00EC585B"/>
    <w:rsid w:val="00EC6441"/>
    <w:rsid w:val="00ED27A9"/>
    <w:rsid w:val="00ED2818"/>
    <w:rsid w:val="00ED447C"/>
    <w:rsid w:val="00ED57BF"/>
    <w:rsid w:val="00ED5DD5"/>
    <w:rsid w:val="00EE0085"/>
    <w:rsid w:val="00EE301F"/>
    <w:rsid w:val="00EE320D"/>
    <w:rsid w:val="00EE442E"/>
    <w:rsid w:val="00EE4566"/>
    <w:rsid w:val="00EE50B2"/>
    <w:rsid w:val="00EE65D9"/>
    <w:rsid w:val="00EE6E9D"/>
    <w:rsid w:val="00EE76C7"/>
    <w:rsid w:val="00EF080E"/>
    <w:rsid w:val="00EF0E24"/>
    <w:rsid w:val="00EF1C60"/>
    <w:rsid w:val="00EF1F3C"/>
    <w:rsid w:val="00EF32BA"/>
    <w:rsid w:val="00EF408E"/>
    <w:rsid w:val="00EF433C"/>
    <w:rsid w:val="00EF7C1D"/>
    <w:rsid w:val="00F0096D"/>
    <w:rsid w:val="00F02960"/>
    <w:rsid w:val="00F04BE3"/>
    <w:rsid w:val="00F04C7D"/>
    <w:rsid w:val="00F051B0"/>
    <w:rsid w:val="00F05307"/>
    <w:rsid w:val="00F053D6"/>
    <w:rsid w:val="00F0616B"/>
    <w:rsid w:val="00F10F04"/>
    <w:rsid w:val="00F11A38"/>
    <w:rsid w:val="00F11EE3"/>
    <w:rsid w:val="00F12BD7"/>
    <w:rsid w:val="00F12C06"/>
    <w:rsid w:val="00F12C8A"/>
    <w:rsid w:val="00F14376"/>
    <w:rsid w:val="00F15F22"/>
    <w:rsid w:val="00F161FD"/>
    <w:rsid w:val="00F1667F"/>
    <w:rsid w:val="00F1765E"/>
    <w:rsid w:val="00F17E05"/>
    <w:rsid w:val="00F200A0"/>
    <w:rsid w:val="00F20A0F"/>
    <w:rsid w:val="00F21615"/>
    <w:rsid w:val="00F230A5"/>
    <w:rsid w:val="00F2475B"/>
    <w:rsid w:val="00F249B8"/>
    <w:rsid w:val="00F249F5"/>
    <w:rsid w:val="00F2583B"/>
    <w:rsid w:val="00F2604F"/>
    <w:rsid w:val="00F26BBD"/>
    <w:rsid w:val="00F26E99"/>
    <w:rsid w:val="00F27AF2"/>
    <w:rsid w:val="00F32EE0"/>
    <w:rsid w:val="00F3329E"/>
    <w:rsid w:val="00F33E17"/>
    <w:rsid w:val="00F34289"/>
    <w:rsid w:val="00F34F67"/>
    <w:rsid w:val="00F36041"/>
    <w:rsid w:val="00F36148"/>
    <w:rsid w:val="00F36FE5"/>
    <w:rsid w:val="00F401CC"/>
    <w:rsid w:val="00F44D21"/>
    <w:rsid w:val="00F451E3"/>
    <w:rsid w:val="00F45797"/>
    <w:rsid w:val="00F457C3"/>
    <w:rsid w:val="00F47108"/>
    <w:rsid w:val="00F50FED"/>
    <w:rsid w:val="00F50FF6"/>
    <w:rsid w:val="00F51FA4"/>
    <w:rsid w:val="00F5253E"/>
    <w:rsid w:val="00F52C8E"/>
    <w:rsid w:val="00F536F7"/>
    <w:rsid w:val="00F53A26"/>
    <w:rsid w:val="00F5476D"/>
    <w:rsid w:val="00F5519E"/>
    <w:rsid w:val="00F55621"/>
    <w:rsid w:val="00F558F3"/>
    <w:rsid w:val="00F559CA"/>
    <w:rsid w:val="00F6010A"/>
    <w:rsid w:val="00F6010D"/>
    <w:rsid w:val="00F6082D"/>
    <w:rsid w:val="00F60846"/>
    <w:rsid w:val="00F612EC"/>
    <w:rsid w:val="00F62574"/>
    <w:rsid w:val="00F6402D"/>
    <w:rsid w:val="00F6451C"/>
    <w:rsid w:val="00F64814"/>
    <w:rsid w:val="00F653A7"/>
    <w:rsid w:val="00F6651E"/>
    <w:rsid w:val="00F67001"/>
    <w:rsid w:val="00F67EA7"/>
    <w:rsid w:val="00F707B3"/>
    <w:rsid w:val="00F70E77"/>
    <w:rsid w:val="00F72F38"/>
    <w:rsid w:val="00F7322E"/>
    <w:rsid w:val="00F73B9F"/>
    <w:rsid w:val="00F76063"/>
    <w:rsid w:val="00F76F20"/>
    <w:rsid w:val="00F8145E"/>
    <w:rsid w:val="00F81EF3"/>
    <w:rsid w:val="00F82217"/>
    <w:rsid w:val="00F83747"/>
    <w:rsid w:val="00F8687E"/>
    <w:rsid w:val="00F86C74"/>
    <w:rsid w:val="00F91C80"/>
    <w:rsid w:val="00F92DC8"/>
    <w:rsid w:val="00F93A46"/>
    <w:rsid w:val="00F94787"/>
    <w:rsid w:val="00F9552C"/>
    <w:rsid w:val="00F95770"/>
    <w:rsid w:val="00FA0256"/>
    <w:rsid w:val="00FA0E95"/>
    <w:rsid w:val="00FA12ED"/>
    <w:rsid w:val="00FA2793"/>
    <w:rsid w:val="00FA27DA"/>
    <w:rsid w:val="00FA383C"/>
    <w:rsid w:val="00FA3D10"/>
    <w:rsid w:val="00FA46FC"/>
    <w:rsid w:val="00FA4C43"/>
    <w:rsid w:val="00FA5507"/>
    <w:rsid w:val="00FA5734"/>
    <w:rsid w:val="00FA6B0F"/>
    <w:rsid w:val="00FA766B"/>
    <w:rsid w:val="00FB1108"/>
    <w:rsid w:val="00FB17E3"/>
    <w:rsid w:val="00FB1B0E"/>
    <w:rsid w:val="00FB37AC"/>
    <w:rsid w:val="00FB3856"/>
    <w:rsid w:val="00FB475F"/>
    <w:rsid w:val="00FB511A"/>
    <w:rsid w:val="00FB6211"/>
    <w:rsid w:val="00FB6379"/>
    <w:rsid w:val="00FB6BC9"/>
    <w:rsid w:val="00FB783A"/>
    <w:rsid w:val="00FC0567"/>
    <w:rsid w:val="00FC091B"/>
    <w:rsid w:val="00FC1F0E"/>
    <w:rsid w:val="00FC1F98"/>
    <w:rsid w:val="00FC3572"/>
    <w:rsid w:val="00FC4A1E"/>
    <w:rsid w:val="00FC4BA8"/>
    <w:rsid w:val="00FC5309"/>
    <w:rsid w:val="00FC5319"/>
    <w:rsid w:val="00FC5738"/>
    <w:rsid w:val="00FC5C8A"/>
    <w:rsid w:val="00FC60F5"/>
    <w:rsid w:val="00FC75B2"/>
    <w:rsid w:val="00FC7662"/>
    <w:rsid w:val="00FC76C7"/>
    <w:rsid w:val="00FD00A1"/>
    <w:rsid w:val="00FD1DD5"/>
    <w:rsid w:val="00FD291C"/>
    <w:rsid w:val="00FD2F14"/>
    <w:rsid w:val="00FD3218"/>
    <w:rsid w:val="00FD3531"/>
    <w:rsid w:val="00FD42A1"/>
    <w:rsid w:val="00FD541E"/>
    <w:rsid w:val="00FD5584"/>
    <w:rsid w:val="00FD55D1"/>
    <w:rsid w:val="00FD56E6"/>
    <w:rsid w:val="00FD77CC"/>
    <w:rsid w:val="00FE04CA"/>
    <w:rsid w:val="00FE11E6"/>
    <w:rsid w:val="00FE18AD"/>
    <w:rsid w:val="00FE1FE1"/>
    <w:rsid w:val="00FE24B6"/>
    <w:rsid w:val="00FE2E06"/>
    <w:rsid w:val="00FE2E27"/>
    <w:rsid w:val="00FE331B"/>
    <w:rsid w:val="00FE3BC8"/>
    <w:rsid w:val="00FE469B"/>
    <w:rsid w:val="00FE48CB"/>
    <w:rsid w:val="00FE4E79"/>
    <w:rsid w:val="00FE7DD5"/>
    <w:rsid w:val="00FF04F5"/>
    <w:rsid w:val="00FF254D"/>
    <w:rsid w:val="00FF39BC"/>
    <w:rsid w:val="00FF5745"/>
    <w:rsid w:val="00FF5886"/>
    <w:rsid w:val="00FF5F6C"/>
    <w:rsid w:val="00FF664A"/>
    <w:rsid w:val="00FF685D"/>
    <w:rsid w:val="00FF6EEA"/>
    <w:rsid w:val="00FF71E8"/>
    <w:rsid w:val="00FF72DB"/>
    <w:rsid w:val="00FF781C"/>
    <w:rsid w:val="00FF7C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41"/>
    <o:shapelayout v:ext="edit">
      <o:idmap v:ext="edit" data="1"/>
    </o:shapelayout>
  </w:shapeDefaults>
  <w:decimalSymbol w:val=","/>
  <w:listSeparator w:val=";"/>
  <w14:docId w14:val="6A3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F"/>
    <w:rPr>
      <w:lang w:val="es-ES_tradnl"/>
    </w:rPr>
  </w:style>
  <w:style w:type="paragraph" w:styleId="Ttulo1">
    <w:name w:val="heading 1"/>
    <w:basedOn w:val="Normal"/>
    <w:next w:val="Normal"/>
    <w:link w:val="Ttulo1Car"/>
    <w:uiPriority w:val="99"/>
    <w:qFormat/>
    <w:rsid w:val="00B571F7"/>
    <w:pPr>
      <w:keepNext/>
      <w:ind w:left="567" w:hanging="567"/>
      <w:outlineLvl w:val="0"/>
    </w:pPr>
    <w:rPr>
      <w:rFonts w:ascii="Cambria" w:hAnsi="Cambria"/>
      <w:b/>
      <w:bCs/>
      <w:kern w:val="32"/>
      <w:sz w:val="32"/>
      <w:szCs w:val="32"/>
    </w:rPr>
  </w:style>
  <w:style w:type="paragraph" w:styleId="Ttulo2">
    <w:name w:val="heading 2"/>
    <w:basedOn w:val="Normal"/>
    <w:next w:val="Normal"/>
    <w:link w:val="Ttulo2Car"/>
    <w:uiPriority w:val="99"/>
    <w:qFormat/>
    <w:rsid w:val="00B571F7"/>
    <w:pPr>
      <w:keepNext/>
      <w:tabs>
        <w:tab w:val="left" w:pos="720"/>
        <w:tab w:val="center" w:pos="4320"/>
      </w:tabs>
      <w:ind w:left="567" w:hanging="567"/>
      <w:jc w:val="both"/>
      <w:outlineLvl w:val="1"/>
    </w:pPr>
    <w:rPr>
      <w:rFonts w:ascii="EurostileTMed" w:hAnsi="EurostileTMed"/>
      <w:b/>
      <w:color w:val="005BA6"/>
      <w:sz w:val="28"/>
    </w:rPr>
  </w:style>
  <w:style w:type="paragraph" w:styleId="Ttulo3">
    <w:name w:val="heading 3"/>
    <w:basedOn w:val="Normal"/>
    <w:next w:val="Normal"/>
    <w:link w:val="Ttulo3Car"/>
    <w:uiPriority w:val="99"/>
    <w:qFormat/>
    <w:rsid w:val="00A40F94"/>
    <w:pPr>
      <w:keepNext/>
      <w:jc w:val="both"/>
      <w:outlineLvl w:val="2"/>
    </w:pPr>
    <w:rPr>
      <w:rFonts w:ascii="Cambria" w:hAnsi="Cambria"/>
      <w:b/>
      <w:bCs/>
      <w:sz w:val="26"/>
      <w:szCs w:val="26"/>
    </w:rPr>
  </w:style>
  <w:style w:type="paragraph" w:styleId="Ttulo4">
    <w:name w:val="heading 4"/>
    <w:basedOn w:val="Normal"/>
    <w:next w:val="Normal"/>
    <w:link w:val="Ttulo4Car"/>
    <w:uiPriority w:val="99"/>
    <w:qFormat/>
    <w:rsid w:val="00A40F94"/>
    <w:pPr>
      <w:keepNext/>
      <w:spacing w:before="60"/>
      <w:jc w:val="right"/>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119E"/>
    <w:rPr>
      <w:rFonts w:ascii="Cambria" w:hAnsi="Cambria" w:cs="Times New Roman"/>
      <w:b/>
      <w:bCs/>
      <w:kern w:val="32"/>
      <w:sz w:val="32"/>
      <w:szCs w:val="32"/>
      <w:lang w:val="es-ES_tradnl"/>
    </w:rPr>
  </w:style>
  <w:style w:type="character" w:customStyle="1" w:styleId="Ttulo2Car">
    <w:name w:val="Título 2 Car"/>
    <w:link w:val="Ttulo2"/>
    <w:uiPriority w:val="99"/>
    <w:locked/>
    <w:rsid w:val="008A7DEF"/>
    <w:rPr>
      <w:rFonts w:ascii="EurostileTMed" w:hAnsi="EurostileTMed" w:cs="Times New Roman"/>
      <w:b/>
      <w:color w:val="005BA6"/>
      <w:sz w:val="28"/>
      <w:lang w:val="es-ES_tradnl"/>
    </w:rPr>
  </w:style>
  <w:style w:type="character" w:customStyle="1" w:styleId="Ttulo3Car">
    <w:name w:val="Título 3 Car"/>
    <w:link w:val="Ttulo3"/>
    <w:uiPriority w:val="99"/>
    <w:semiHidden/>
    <w:locked/>
    <w:rsid w:val="0050119E"/>
    <w:rPr>
      <w:rFonts w:ascii="Cambria" w:hAnsi="Cambria" w:cs="Times New Roman"/>
      <w:b/>
      <w:bCs/>
      <w:sz w:val="26"/>
      <w:szCs w:val="26"/>
      <w:lang w:val="es-ES_tradnl"/>
    </w:rPr>
  </w:style>
  <w:style w:type="character" w:customStyle="1" w:styleId="Ttulo4Car">
    <w:name w:val="Título 4 Car"/>
    <w:link w:val="Ttulo4"/>
    <w:uiPriority w:val="99"/>
    <w:semiHidden/>
    <w:locked/>
    <w:rsid w:val="0050119E"/>
    <w:rPr>
      <w:rFonts w:ascii="Calibri" w:hAnsi="Calibri" w:cs="Times New Roman"/>
      <w:b/>
      <w:bCs/>
      <w:sz w:val="28"/>
      <w:szCs w:val="28"/>
      <w:lang w:val="es-ES_tradnl"/>
    </w:rPr>
  </w:style>
  <w:style w:type="paragraph" w:styleId="Ttulo">
    <w:name w:val="Title"/>
    <w:basedOn w:val="Normal"/>
    <w:link w:val="TtuloCar"/>
    <w:uiPriority w:val="99"/>
    <w:qFormat/>
    <w:rsid w:val="00A40F94"/>
    <w:pPr>
      <w:widowControl w:val="0"/>
      <w:spacing w:line="360" w:lineRule="auto"/>
      <w:ind w:right="-923"/>
      <w:jc w:val="center"/>
    </w:pPr>
    <w:rPr>
      <w:rFonts w:ascii="Cambria" w:hAnsi="Cambria"/>
      <w:b/>
      <w:bCs/>
      <w:kern w:val="28"/>
      <w:sz w:val="32"/>
      <w:szCs w:val="32"/>
    </w:rPr>
  </w:style>
  <w:style w:type="character" w:customStyle="1" w:styleId="TtuloCar">
    <w:name w:val="Título Car"/>
    <w:link w:val="Ttulo"/>
    <w:uiPriority w:val="99"/>
    <w:locked/>
    <w:rsid w:val="0050119E"/>
    <w:rPr>
      <w:rFonts w:ascii="Cambria" w:hAnsi="Cambria" w:cs="Times New Roman"/>
      <w:b/>
      <w:bCs/>
      <w:kern w:val="28"/>
      <w:sz w:val="32"/>
      <w:szCs w:val="32"/>
      <w:lang w:val="es-ES_tradnl"/>
    </w:rPr>
  </w:style>
  <w:style w:type="paragraph" w:styleId="Sangradetextonormal">
    <w:name w:val="Body Text Indent"/>
    <w:basedOn w:val="Normal"/>
    <w:link w:val="SangradetextonormalCar"/>
    <w:uiPriority w:val="99"/>
    <w:rsid w:val="00A40F94"/>
    <w:pPr>
      <w:widowControl w:val="0"/>
      <w:spacing w:line="360" w:lineRule="auto"/>
      <w:ind w:firstLine="567"/>
      <w:jc w:val="both"/>
    </w:pPr>
  </w:style>
  <w:style w:type="character" w:customStyle="1" w:styleId="SangradetextonormalCar">
    <w:name w:val="Sangría de texto normal Car"/>
    <w:link w:val="Sangradetextonormal"/>
    <w:uiPriority w:val="99"/>
    <w:semiHidden/>
    <w:locked/>
    <w:rsid w:val="0050119E"/>
    <w:rPr>
      <w:rFonts w:cs="Times New Roman"/>
      <w:sz w:val="20"/>
      <w:szCs w:val="20"/>
      <w:lang w:val="es-ES_tradnl"/>
    </w:rPr>
  </w:style>
  <w:style w:type="paragraph" w:styleId="Textoindependiente">
    <w:name w:val="Body Text"/>
    <w:basedOn w:val="Normal"/>
    <w:link w:val="TextoindependienteCar"/>
    <w:uiPriority w:val="99"/>
    <w:rsid w:val="00A40F94"/>
    <w:pPr>
      <w:widowControl w:val="0"/>
      <w:tabs>
        <w:tab w:val="left" w:pos="720"/>
        <w:tab w:val="center" w:pos="4320"/>
      </w:tabs>
      <w:spacing w:line="360" w:lineRule="auto"/>
      <w:jc w:val="both"/>
    </w:pPr>
  </w:style>
  <w:style w:type="character" w:customStyle="1" w:styleId="TextoindependienteCar">
    <w:name w:val="Texto independiente Car"/>
    <w:link w:val="Textoindependiente"/>
    <w:uiPriority w:val="99"/>
    <w:semiHidden/>
    <w:locked/>
    <w:rsid w:val="0050119E"/>
    <w:rPr>
      <w:rFonts w:cs="Times New Roman"/>
      <w:sz w:val="20"/>
      <w:szCs w:val="20"/>
      <w:lang w:val="es-ES_tradnl"/>
    </w:rPr>
  </w:style>
  <w:style w:type="paragraph" w:styleId="Piedepgina">
    <w:name w:val="footer"/>
    <w:basedOn w:val="Normal"/>
    <w:link w:val="PiedepginaCar"/>
    <w:uiPriority w:val="99"/>
    <w:rsid w:val="00A40F94"/>
    <w:pPr>
      <w:widowControl w:val="0"/>
      <w:tabs>
        <w:tab w:val="center" w:pos="4819"/>
        <w:tab w:val="right" w:pos="9071"/>
      </w:tabs>
    </w:pPr>
    <w:rPr>
      <w:rFonts w:ascii="CG Times (W1)" w:hAnsi="CG Times (W1)"/>
      <w:snapToGrid w:val="0"/>
    </w:rPr>
  </w:style>
  <w:style w:type="character" w:customStyle="1" w:styleId="PiedepginaCar">
    <w:name w:val="Pie de página Car"/>
    <w:link w:val="Piedepgina"/>
    <w:uiPriority w:val="99"/>
    <w:locked/>
    <w:rsid w:val="00577579"/>
    <w:rPr>
      <w:rFonts w:ascii="CG Times (W1)" w:hAnsi="CG Times (W1)" w:cs="Times New Roman"/>
      <w:snapToGrid w:val="0"/>
      <w:lang w:val="es-ES_tradnl"/>
    </w:rPr>
  </w:style>
  <w:style w:type="character" w:styleId="Nmerodepgina">
    <w:name w:val="page number"/>
    <w:uiPriority w:val="99"/>
    <w:rsid w:val="00A40F94"/>
    <w:rPr>
      <w:rFonts w:cs="Times New Roman"/>
    </w:rPr>
  </w:style>
  <w:style w:type="paragraph" w:styleId="Sangra2detindependiente">
    <w:name w:val="Body Text Indent 2"/>
    <w:basedOn w:val="Normal"/>
    <w:link w:val="Sangra2detindependienteCar"/>
    <w:uiPriority w:val="99"/>
    <w:rsid w:val="00A40F94"/>
    <w:pPr>
      <w:spacing w:line="360" w:lineRule="auto"/>
      <w:ind w:left="567" w:hanging="567"/>
      <w:jc w:val="both"/>
    </w:pPr>
  </w:style>
  <w:style w:type="character" w:customStyle="1" w:styleId="Sangra2detindependienteCar">
    <w:name w:val="Sangría 2 de t. independiente Car"/>
    <w:link w:val="Sangra2detindependiente"/>
    <w:uiPriority w:val="99"/>
    <w:semiHidden/>
    <w:locked/>
    <w:rsid w:val="0050119E"/>
    <w:rPr>
      <w:rFonts w:cs="Times New Roman"/>
      <w:sz w:val="20"/>
      <w:szCs w:val="20"/>
      <w:lang w:val="es-ES_tradnl"/>
    </w:rPr>
  </w:style>
  <w:style w:type="paragraph" w:styleId="Encabezado">
    <w:name w:val="header"/>
    <w:basedOn w:val="Normal"/>
    <w:link w:val="EncabezadoCar"/>
    <w:uiPriority w:val="99"/>
    <w:rsid w:val="00A40F94"/>
    <w:pPr>
      <w:tabs>
        <w:tab w:val="center" w:pos="4252"/>
        <w:tab w:val="right" w:pos="8504"/>
      </w:tabs>
    </w:pPr>
    <w:rPr>
      <w:sz w:val="26"/>
    </w:rPr>
  </w:style>
  <w:style w:type="character" w:customStyle="1" w:styleId="EncabezadoCar">
    <w:name w:val="Encabezado Car"/>
    <w:link w:val="Encabezado"/>
    <w:uiPriority w:val="99"/>
    <w:locked/>
    <w:rsid w:val="00B571F7"/>
    <w:rPr>
      <w:rFonts w:cs="Times New Roman"/>
      <w:sz w:val="26"/>
    </w:rPr>
  </w:style>
  <w:style w:type="paragraph" w:styleId="Sangra3detindependiente">
    <w:name w:val="Body Text Indent 3"/>
    <w:basedOn w:val="Normal"/>
    <w:link w:val="Sangra3detindependienteCar"/>
    <w:uiPriority w:val="99"/>
    <w:rsid w:val="00A40F94"/>
    <w:pPr>
      <w:tabs>
        <w:tab w:val="left" w:pos="1134"/>
        <w:tab w:val="center" w:pos="4320"/>
      </w:tabs>
      <w:spacing w:line="360" w:lineRule="auto"/>
      <w:ind w:firstLine="839"/>
      <w:jc w:val="both"/>
    </w:pPr>
    <w:rPr>
      <w:sz w:val="16"/>
      <w:szCs w:val="16"/>
    </w:rPr>
  </w:style>
  <w:style w:type="character" w:customStyle="1" w:styleId="Sangra3detindependienteCar">
    <w:name w:val="Sangría 3 de t. independiente Car"/>
    <w:link w:val="Sangra3detindependiente"/>
    <w:uiPriority w:val="99"/>
    <w:semiHidden/>
    <w:locked/>
    <w:rsid w:val="0050119E"/>
    <w:rPr>
      <w:rFonts w:cs="Times New Roman"/>
      <w:sz w:val="16"/>
      <w:szCs w:val="16"/>
      <w:lang w:val="es-ES_tradnl"/>
    </w:rPr>
  </w:style>
  <w:style w:type="paragraph" w:customStyle="1" w:styleId="BalloonText1">
    <w:name w:val="Balloon Text1"/>
    <w:basedOn w:val="Normal"/>
    <w:uiPriority w:val="99"/>
    <w:semiHidden/>
    <w:rsid w:val="00A40F94"/>
    <w:rPr>
      <w:rFonts w:ascii="Tahoma" w:hAnsi="Tahoma" w:cs="Tahoma"/>
      <w:sz w:val="16"/>
      <w:szCs w:val="16"/>
    </w:rPr>
  </w:style>
  <w:style w:type="paragraph" w:styleId="TDC1">
    <w:name w:val="toc 1"/>
    <w:basedOn w:val="Normal"/>
    <w:next w:val="Normal"/>
    <w:autoRedefine/>
    <w:uiPriority w:val="99"/>
    <w:rsid w:val="0002562E"/>
    <w:pPr>
      <w:tabs>
        <w:tab w:val="right" w:leader="dot" w:pos="9498"/>
      </w:tabs>
      <w:spacing w:before="120" w:after="120" w:line="360" w:lineRule="auto"/>
    </w:pPr>
    <w:rPr>
      <w:rFonts w:ascii="Arial" w:hAnsi="Arial"/>
    </w:rPr>
  </w:style>
  <w:style w:type="paragraph" w:styleId="TDC2">
    <w:name w:val="toc 2"/>
    <w:basedOn w:val="Normal"/>
    <w:next w:val="Normal"/>
    <w:autoRedefine/>
    <w:uiPriority w:val="99"/>
    <w:rsid w:val="00A40F94"/>
    <w:pPr>
      <w:ind w:left="200"/>
    </w:pPr>
  </w:style>
  <w:style w:type="character" w:styleId="Hipervnculo">
    <w:name w:val="Hyperlink"/>
    <w:uiPriority w:val="99"/>
    <w:rsid w:val="00A40F94"/>
    <w:rPr>
      <w:rFonts w:cs="Times New Roman"/>
      <w:color w:val="0000FF"/>
      <w:u w:val="single"/>
    </w:rPr>
  </w:style>
  <w:style w:type="paragraph" w:styleId="Textodeglobo">
    <w:name w:val="Balloon Text"/>
    <w:basedOn w:val="Normal"/>
    <w:link w:val="TextodegloboCar"/>
    <w:uiPriority w:val="99"/>
    <w:rsid w:val="007E64AA"/>
    <w:rPr>
      <w:rFonts w:ascii="Tahoma" w:hAnsi="Tahoma"/>
      <w:sz w:val="16"/>
      <w:szCs w:val="16"/>
    </w:rPr>
  </w:style>
  <w:style w:type="character" w:customStyle="1" w:styleId="TextodegloboCar">
    <w:name w:val="Texto de globo Car"/>
    <w:link w:val="Textodeglobo"/>
    <w:uiPriority w:val="99"/>
    <w:locked/>
    <w:rsid w:val="007E64AA"/>
    <w:rPr>
      <w:rFonts w:ascii="Tahoma" w:hAnsi="Tahoma" w:cs="Tahoma"/>
      <w:sz w:val="16"/>
      <w:szCs w:val="16"/>
      <w:lang w:val="es-ES_tradnl"/>
    </w:rPr>
  </w:style>
  <w:style w:type="paragraph" w:styleId="Revisin">
    <w:name w:val="Revision"/>
    <w:hidden/>
    <w:uiPriority w:val="99"/>
    <w:semiHidden/>
    <w:rsid w:val="00516D2E"/>
    <w:rPr>
      <w:lang w:val="es-ES_tradnl"/>
    </w:rPr>
  </w:style>
  <w:style w:type="paragraph" w:styleId="Prrafodelista">
    <w:name w:val="List Paragraph"/>
    <w:basedOn w:val="Normal"/>
    <w:uiPriority w:val="34"/>
    <w:qFormat/>
    <w:rsid w:val="00937A15"/>
    <w:pPr>
      <w:ind w:left="720"/>
      <w:contextualSpacing/>
    </w:pPr>
  </w:style>
  <w:style w:type="table" w:styleId="Tablaconcuadrcula">
    <w:name w:val="Table Grid"/>
    <w:basedOn w:val="Tablanormal"/>
    <w:uiPriority w:val="99"/>
    <w:rsid w:val="00F7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0C3C"/>
    <w:pPr>
      <w:spacing w:before="100" w:beforeAutospacing="1" w:after="100" w:afterAutospacing="1"/>
    </w:pPr>
    <w:rPr>
      <w:sz w:val="24"/>
      <w:szCs w:val="24"/>
      <w:lang w:val="es-ES"/>
    </w:rPr>
  </w:style>
  <w:style w:type="character" w:styleId="Refdecomentario">
    <w:name w:val="annotation reference"/>
    <w:uiPriority w:val="99"/>
    <w:semiHidden/>
    <w:rsid w:val="00083862"/>
    <w:rPr>
      <w:rFonts w:cs="Times New Roman"/>
      <w:sz w:val="16"/>
      <w:szCs w:val="16"/>
    </w:rPr>
  </w:style>
  <w:style w:type="paragraph" w:styleId="Textocomentario">
    <w:name w:val="annotation text"/>
    <w:basedOn w:val="Normal"/>
    <w:link w:val="TextocomentarioCar"/>
    <w:uiPriority w:val="99"/>
    <w:semiHidden/>
    <w:rsid w:val="00083862"/>
  </w:style>
  <w:style w:type="character" w:customStyle="1" w:styleId="TextocomentarioCar">
    <w:name w:val="Texto comentario Car"/>
    <w:link w:val="Textocomentario"/>
    <w:uiPriority w:val="99"/>
    <w:semiHidden/>
    <w:locked/>
    <w:rsid w:val="00083862"/>
    <w:rPr>
      <w:rFonts w:cs="Times New Roman"/>
      <w:lang w:val="es-ES_tradnl"/>
    </w:rPr>
  </w:style>
  <w:style w:type="paragraph" w:styleId="Asuntodelcomentario">
    <w:name w:val="annotation subject"/>
    <w:basedOn w:val="Textocomentario"/>
    <w:next w:val="Textocomentario"/>
    <w:link w:val="AsuntodelcomentarioCar"/>
    <w:uiPriority w:val="99"/>
    <w:semiHidden/>
    <w:rsid w:val="00083862"/>
    <w:rPr>
      <w:b/>
      <w:bCs/>
    </w:rPr>
  </w:style>
  <w:style w:type="character" w:customStyle="1" w:styleId="AsuntodelcomentarioCar">
    <w:name w:val="Asunto del comentario Car"/>
    <w:link w:val="Asuntodelcomentario"/>
    <w:uiPriority w:val="99"/>
    <w:semiHidden/>
    <w:locked/>
    <w:rsid w:val="00083862"/>
    <w:rPr>
      <w:rFonts w:cs="Times New Roman"/>
      <w:b/>
      <w:bCs/>
      <w:lang w:val="es-ES_tradnl"/>
    </w:rPr>
  </w:style>
  <w:style w:type="character" w:styleId="Refdenotaalpie">
    <w:name w:val="footnote reference"/>
    <w:semiHidden/>
    <w:rsid w:val="00897E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F"/>
    <w:rPr>
      <w:lang w:val="es-ES_tradnl"/>
    </w:rPr>
  </w:style>
  <w:style w:type="paragraph" w:styleId="Ttulo1">
    <w:name w:val="heading 1"/>
    <w:basedOn w:val="Normal"/>
    <w:next w:val="Normal"/>
    <w:link w:val="Ttulo1Car"/>
    <w:uiPriority w:val="99"/>
    <w:qFormat/>
    <w:rsid w:val="00B571F7"/>
    <w:pPr>
      <w:keepNext/>
      <w:ind w:left="567" w:hanging="567"/>
      <w:outlineLvl w:val="0"/>
    </w:pPr>
    <w:rPr>
      <w:rFonts w:ascii="Cambria" w:hAnsi="Cambria"/>
      <w:b/>
      <w:bCs/>
      <w:kern w:val="32"/>
      <w:sz w:val="32"/>
      <w:szCs w:val="32"/>
    </w:rPr>
  </w:style>
  <w:style w:type="paragraph" w:styleId="Ttulo2">
    <w:name w:val="heading 2"/>
    <w:basedOn w:val="Normal"/>
    <w:next w:val="Normal"/>
    <w:link w:val="Ttulo2Car"/>
    <w:uiPriority w:val="99"/>
    <w:qFormat/>
    <w:rsid w:val="00B571F7"/>
    <w:pPr>
      <w:keepNext/>
      <w:tabs>
        <w:tab w:val="left" w:pos="720"/>
        <w:tab w:val="center" w:pos="4320"/>
      </w:tabs>
      <w:ind w:left="567" w:hanging="567"/>
      <w:jc w:val="both"/>
      <w:outlineLvl w:val="1"/>
    </w:pPr>
    <w:rPr>
      <w:rFonts w:ascii="EurostileTMed" w:hAnsi="EurostileTMed"/>
      <w:b/>
      <w:color w:val="005BA6"/>
      <w:sz w:val="28"/>
    </w:rPr>
  </w:style>
  <w:style w:type="paragraph" w:styleId="Ttulo3">
    <w:name w:val="heading 3"/>
    <w:basedOn w:val="Normal"/>
    <w:next w:val="Normal"/>
    <w:link w:val="Ttulo3Car"/>
    <w:uiPriority w:val="99"/>
    <w:qFormat/>
    <w:rsid w:val="00A40F94"/>
    <w:pPr>
      <w:keepNext/>
      <w:jc w:val="both"/>
      <w:outlineLvl w:val="2"/>
    </w:pPr>
    <w:rPr>
      <w:rFonts w:ascii="Cambria" w:hAnsi="Cambria"/>
      <w:b/>
      <w:bCs/>
      <w:sz w:val="26"/>
      <w:szCs w:val="26"/>
    </w:rPr>
  </w:style>
  <w:style w:type="paragraph" w:styleId="Ttulo4">
    <w:name w:val="heading 4"/>
    <w:basedOn w:val="Normal"/>
    <w:next w:val="Normal"/>
    <w:link w:val="Ttulo4Car"/>
    <w:uiPriority w:val="99"/>
    <w:qFormat/>
    <w:rsid w:val="00A40F94"/>
    <w:pPr>
      <w:keepNext/>
      <w:spacing w:before="60"/>
      <w:jc w:val="right"/>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0119E"/>
    <w:rPr>
      <w:rFonts w:ascii="Cambria" w:hAnsi="Cambria" w:cs="Times New Roman"/>
      <w:b/>
      <w:bCs/>
      <w:kern w:val="32"/>
      <w:sz w:val="32"/>
      <w:szCs w:val="32"/>
      <w:lang w:val="es-ES_tradnl"/>
    </w:rPr>
  </w:style>
  <w:style w:type="character" w:customStyle="1" w:styleId="Ttulo2Car">
    <w:name w:val="Título 2 Car"/>
    <w:link w:val="Ttulo2"/>
    <w:uiPriority w:val="99"/>
    <w:locked/>
    <w:rsid w:val="008A7DEF"/>
    <w:rPr>
      <w:rFonts w:ascii="EurostileTMed" w:hAnsi="EurostileTMed" w:cs="Times New Roman"/>
      <w:b/>
      <w:color w:val="005BA6"/>
      <w:sz w:val="28"/>
      <w:lang w:val="es-ES_tradnl"/>
    </w:rPr>
  </w:style>
  <w:style w:type="character" w:customStyle="1" w:styleId="Ttulo3Car">
    <w:name w:val="Título 3 Car"/>
    <w:link w:val="Ttulo3"/>
    <w:uiPriority w:val="99"/>
    <w:semiHidden/>
    <w:locked/>
    <w:rsid w:val="0050119E"/>
    <w:rPr>
      <w:rFonts w:ascii="Cambria" w:hAnsi="Cambria" w:cs="Times New Roman"/>
      <w:b/>
      <w:bCs/>
      <w:sz w:val="26"/>
      <w:szCs w:val="26"/>
      <w:lang w:val="es-ES_tradnl"/>
    </w:rPr>
  </w:style>
  <w:style w:type="character" w:customStyle="1" w:styleId="Ttulo4Car">
    <w:name w:val="Título 4 Car"/>
    <w:link w:val="Ttulo4"/>
    <w:uiPriority w:val="99"/>
    <w:semiHidden/>
    <w:locked/>
    <w:rsid w:val="0050119E"/>
    <w:rPr>
      <w:rFonts w:ascii="Calibri" w:hAnsi="Calibri" w:cs="Times New Roman"/>
      <w:b/>
      <w:bCs/>
      <w:sz w:val="28"/>
      <w:szCs w:val="28"/>
      <w:lang w:val="es-ES_tradnl"/>
    </w:rPr>
  </w:style>
  <w:style w:type="paragraph" w:styleId="Ttulo">
    <w:name w:val="Title"/>
    <w:basedOn w:val="Normal"/>
    <w:link w:val="TtuloCar"/>
    <w:uiPriority w:val="99"/>
    <w:qFormat/>
    <w:rsid w:val="00A40F94"/>
    <w:pPr>
      <w:widowControl w:val="0"/>
      <w:spacing w:line="360" w:lineRule="auto"/>
      <w:ind w:right="-923"/>
      <w:jc w:val="center"/>
    </w:pPr>
    <w:rPr>
      <w:rFonts w:ascii="Cambria" w:hAnsi="Cambria"/>
      <w:b/>
      <w:bCs/>
      <w:kern w:val="28"/>
      <w:sz w:val="32"/>
      <w:szCs w:val="32"/>
    </w:rPr>
  </w:style>
  <w:style w:type="character" w:customStyle="1" w:styleId="TtuloCar">
    <w:name w:val="Título Car"/>
    <w:link w:val="Ttulo"/>
    <w:uiPriority w:val="99"/>
    <w:locked/>
    <w:rsid w:val="0050119E"/>
    <w:rPr>
      <w:rFonts w:ascii="Cambria" w:hAnsi="Cambria" w:cs="Times New Roman"/>
      <w:b/>
      <w:bCs/>
      <w:kern w:val="28"/>
      <w:sz w:val="32"/>
      <w:szCs w:val="32"/>
      <w:lang w:val="es-ES_tradnl"/>
    </w:rPr>
  </w:style>
  <w:style w:type="paragraph" w:styleId="Sangradetextonormal">
    <w:name w:val="Body Text Indent"/>
    <w:basedOn w:val="Normal"/>
    <w:link w:val="SangradetextonormalCar"/>
    <w:uiPriority w:val="99"/>
    <w:rsid w:val="00A40F94"/>
    <w:pPr>
      <w:widowControl w:val="0"/>
      <w:spacing w:line="360" w:lineRule="auto"/>
      <w:ind w:firstLine="567"/>
      <w:jc w:val="both"/>
    </w:pPr>
  </w:style>
  <w:style w:type="character" w:customStyle="1" w:styleId="SangradetextonormalCar">
    <w:name w:val="Sangría de texto normal Car"/>
    <w:link w:val="Sangradetextonormal"/>
    <w:uiPriority w:val="99"/>
    <w:semiHidden/>
    <w:locked/>
    <w:rsid w:val="0050119E"/>
    <w:rPr>
      <w:rFonts w:cs="Times New Roman"/>
      <w:sz w:val="20"/>
      <w:szCs w:val="20"/>
      <w:lang w:val="es-ES_tradnl"/>
    </w:rPr>
  </w:style>
  <w:style w:type="paragraph" w:styleId="Textoindependiente">
    <w:name w:val="Body Text"/>
    <w:basedOn w:val="Normal"/>
    <w:link w:val="TextoindependienteCar"/>
    <w:uiPriority w:val="99"/>
    <w:rsid w:val="00A40F94"/>
    <w:pPr>
      <w:widowControl w:val="0"/>
      <w:tabs>
        <w:tab w:val="left" w:pos="720"/>
        <w:tab w:val="center" w:pos="4320"/>
      </w:tabs>
      <w:spacing w:line="360" w:lineRule="auto"/>
      <w:jc w:val="both"/>
    </w:pPr>
  </w:style>
  <w:style w:type="character" w:customStyle="1" w:styleId="TextoindependienteCar">
    <w:name w:val="Texto independiente Car"/>
    <w:link w:val="Textoindependiente"/>
    <w:uiPriority w:val="99"/>
    <w:semiHidden/>
    <w:locked/>
    <w:rsid w:val="0050119E"/>
    <w:rPr>
      <w:rFonts w:cs="Times New Roman"/>
      <w:sz w:val="20"/>
      <w:szCs w:val="20"/>
      <w:lang w:val="es-ES_tradnl"/>
    </w:rPr>
  </w:style>
  <w:style w:type="paragraph" w:styleId="Piedepgina">
    <w:name w:val="footer"/>
    <w:basedOn w:val="Normal"/>
    <w:link w:val="PiedepginaCar"/>
    <w:uiPriority w:val="99"/>
    <w:rsid w:val="00A40F94"/>
    <w:pPr>
      <w:widowControl w:val="0"/>
      <w:tabs>
        <w:tab w:val="center" w:pos="4819"/>
        <w:tab w:val="right" w:pos="9071"/>
      </w:tabs>
    </w:pPr>
    <w:rPr>
      <w:rFonts w:ascii="CG Times (W1)" w:hAnsi="CG Times (W1)"/>
      <w:snapToGrid w:val="0"/>
    </w:rPr>
  </w:style>
  <w:style w:type="character" w:customStyle="1" w:styleId="PiedepginaCar">
    <w:name w:val="Pie de página Car"/>
    <w:link w:val="Piedepgina"/>
    <w:uiPriority w:val="99"/>
    <w:locked/>
    <w:rsid w:val="00577579"/>
    <w:rPr>
      <w:rFonts w:ascii="CG Times (W1)" w:hAnsi="CG Times (W1)" w:cs="Times New Roman"/>
      <w:snapToGrid w:val="0"/>
      <w:lang w:val="es-ES_tradnl"/>
    </w:rPr>
  </w:style>
  <w:style w:type="character" w:styleId="Nmerodepgina">
    <w:name w:val="page number"/>
    <w:uiPriority w:val="99"/>
    <w:rsid w:val="00A40F94"/>
    <w:rPr>
      <w:rFonts w:cs="Times New Roman"/>
    </w:rPr>
  </w:style>
  <w:style w:type="paragraph" w:styleId="Sangra2detindependiente">
    <w:name w:val="Body Text Indent 2"/>
    <w:basedOn w:val="Normal"/>
    <w:link w:val="Sangra2detindependienteCar"/>
    <w:uiPriority w:val="99"/>
    <w:rsid w:val="00A40F94"/>
    <w:pPr>
      <w:spacing w:line="360" w:lineRule="auto"/>
      <w:ind w:left="567" w:hanging="567"/>
      <w:jc w:val="both"/>
    </w:pPr>
  </w:style>
  <w:style w:type="character" w:customStyle="1" w:styleId="Sangra2detindependienteCar">
    <w:name w:val="Sangría 2 de t. independiente Car"/>
    <w:link w:val="Sangra2detindependiente"/>
    <w:uiPriority w:val="99"/>
    <w:semiHidden/>
    <w:locked/>
    <w:rsid w:val="0050119E"/>
    <w:rPr>
      <w:rFonts w:cs="Times New Roman"/>
      <w:sz w:val="20"/>
      <w:szCs w:val="20"/>
      <w:lang w:val="es-ES_tradnl"/>
    </w:rPr>
  </w:style>
  <w:style w:type="paragraph" w:styleId="Encabezado">
    <w:name w:val="header"/>
    <w:basedOn w:val="Normal"/>
    <w:link w:val="EncabezadoCar"/>
    <w:uiPriority w:val="99"/>
    <w:rsid w:val="00A40F94"/>
    <w:pPr>
      <w:tabs>
        <w:tab w:val="center" w:pos="4252"/>
        <w:tab w:val="right" w:pos="8504"/>
      </w:tabs>
    </w:pPr>
    <w:rPr>
      <w:sz w:val="26"/>
    </w:rPr>
  </w:style>
  <w:style w:type="character" w:customStyle="1" w:styleId="EncabezadoCar">
    <w:name w:val="Encabezado Car"/>
    <w:link w:val="Encabezado"/>
    <w:uiPriority w:val="99"/>
    <w:locked/>
    <w:rsid w:val="00B571F7"/>
    <w:rPr>
      <w:rFonts w:cs="Times New Roman"/>
      <w:sz w:val="26"/>
    </w:rPr>
  </w:style>
  <w:style w:type="paragraph" w:styleId="Sangra3detindependiente">
    <w:name w:val="Body Text Indent 3"/>
    <w:basedOn w:val="Normal"/>
    <w:link w:val="Sangra3detindependienteCar"/>
    <w:uiPriority w:val="99"/>
    <w:rsid w:val="00A40F94"/>
    <w:pPr>
      <w:tabs>
        <w:tab w:val="left" w:pos="1134"/>
        <w:tab w:val="center" w:pos="4320"/>
      </w:tabs>
      <w:spacing w:line="360" w:lineRule="auto"/>
      <w:ind w:firstLine="839"/>
      <w:jc w:val="both"/>
    </w:pPr>
    <w:rPr>
      <w:sz w:val="16"/>
      <w:szCs w:val="16"/>
    </w:rPr>
  </w:style>
  <w:style w:type="character" w:customStyle="1" w:styleId="Sangra3detindependienteCar">
    <w:name w:val="Sangría 3 de t. independiente Car"/>
    <w:link w:val="Sangra3detindependiente"/>
    <w:uiPriority w:val="99"/>
    <w:semiHidden/>
    <w:locked/>
    <w:rsid w:val="0050119E"/>
    <w:rPr>
      <w:rFonts w:cs="Times New Roman"/>
      <w:sz w:val="16"/>
      <w:szCs w:val="16"/>
      <w:lang w:val="es-ES_tradnl"/>
    </w:rPr>
  </w:style>
  <w:style w:type="paragraph" w:customStyle="1" w:styleId="BalloonText1">
    <w:name w:val="Balloon Text1"/>
    <w:basedOn w:val="Normal"/>
    <w:uiPriority w:val="99"/>
    <w:semiHidden/>
    <w:rsid w:val="00A40F94"/>
    <w:rPr>
      <w:rFonts w:ascii="Tahoma" w:hAnsi="Tahoma" w:cs="Tahoma"/>
      <w:sz w:val="16"/>
      <w:szCs w:val="16"/>
    </w:rPr>
  </w:style>
  <w:style w:type="paragraph" w:styleId="TDC1">
    <w:name w:val="toc 1"/>
    <w:basedOn w:val="Normal"/>
    <w:next w:val="Normal"/>
    <w:autoRedefine/>
    <w:uiPriority w:val="99"/>
    <w:rsid w:val="0002562E"/>
    <w:pPr>
      <w:tabs>
        <w:tab w:val="right" w:leader="dot" w:pos="9498"/>
      </w:tabs>
      <w:spacing w:before="120" w:after="120" w:line="360" w:lineRule="auto"/>
    </w:pPr>
    <w:rPr>
      <w:rFonts w:ascii="Arial" w:hAnsi="Arial"/>
    </w:rPr>
  </w:style>
  <w:style w:type="paragraph" w:styleId="TDC2">
    <w:name w:val="toc 2"/>
    <w:basedOn w:val="Normal"/>
    <w:next w:val="Normal"/>
    <w:autoRedefine/>
    <w:uiPriority w:val="99"/>
    <w:rsid w:val="00A40F94"/>
    <w:pPr>
      <w:ind w:left="200"/>
    </w:pPr>
  </w:style>
  <w:style w:type="character" w:styleId="Hipervnculo">
    <w:name w:val="Hyperlink"/>
    <w:uiPriority w:val="99"/>
    <w:rsid w:val="00A40F94"/>
    <w:rPr>
      <w:rFonts w:cs="Times New Roman"/>
      <w:color w:val="0000FF"/>
      <w:u w:val="single"/>
    </w:rPr>
  </w:style>
  <w:style w:type="paragraph" w:styleId="Textodeglobo">
    <w:name w:val="Balloon Text"/>
    <w:basedOn w:val="Normal"/>
    <w:link w:val="TextodegloboCar"/>
    <w:uiPriority w:val="99"/>
    <w:rsid w:val="007E64AA"/>
    <w:rPr>
      <w:rFonts w:ascii="Tahoma" w:hAnsi="Tahoma"/>
      <w:sz w:val="16"/>
      <w:szCs w:val="16"/>
    </w:rPr>
  </w:style>
  <w:style w:type="character" w:customStyle="1" w:styleId="TextodegloboCar">
    <w:name w:val="Texto de globo Car"/>
    <w:link w:val="Textodeglobo"/>
    <w:uiPriority w:val="99"/>
    <w:locked/>
    <w:rsid w:val="007E64AA"/>
    <w:rPr>
      <w:rFonts w:ascii="Tahoma" w:hAnsi="Tahoma" w:cs="Tahoma"/>
      <w:sz w:val="16"/>
      <w:szCs w:val="16"/>
      <w:lang w:val="es-ES_tradnl"/>
    </w:rPr>
  </w:style>
  <w:style w:type="paragraph" w:styleId="Revisin">
    <w:name w:val="Revision"/>
    <w:hidden/>
    <w:uiPriority w:val="99"/>
    <w:semiHidden/>
    <w:rsid w:val="00516D2E"/>
    <w:rPr>
      <w:lang w:val="es-ES_tradnl"/>
    </w:rPr>
  </w:style>
  <w:style w:type="paragraph" w:styleId="Prrafodelista">
    <w:name w:val="List Paragraph"/>
    <w:basedOn w:val="Normal"/>
    <w:uiPriority w:val="34"/>
    <w:qFormat/>
    <w:rsid w:val="00937A15"/>
    <w:pPr>
      <w:ind w:left="720"/>
      <w:contextualSpacing/>
    </w:pPr>
  </w:style>
  <w:style w:type="table" w:styleId="Tablaconcuadrcula">
    <w:name w:val="Table Grid"/>
    <w:basedOn w:val="Tablanormal"/>
    <w:uiPriority w:val="99"/>
    <w:rsid w:val="00F70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0C3C"/>
    <w:pPr>
      <w:spacing w:before="100" w:beforeAutospacing="1" w:after="100" w:afterAutospacing="1"/>
    </w:pPr>
    <w:rPr>
      <w:sz w:val="24"/>
      <w:szCs w:val="24"/>
      <w:lang w:val="es-ES"/>
    </w:rPr>
  </w:style>
  <w:style w:type="character" w:styleId="Refdecomentario">
    <w:name w:val="annotation reference"/>
    <w:uiPriority w:val="99"/>
    <w:semiHidden/>
    <w:rsid w:val="00083862"/>
    <w:rPr>
      <w:rFonts w:cs="Times New Roman"/>
      <w:sz w:val="16"/>
      <w:szCs w:val="16"/>
    </w:rPr>
  </w:style>
  <w:style w:type="paragraph" w:styleId="Textocomentario">
    <w:name w:val="annotation text"/>
    <w:basedOn w:val="Normal"/>
    <w:link w:val="TextocomentarioCar"/>
    <w:uiPriority w:val="99"/>
    <w:semiHidden/>
    <w:rsid w:val="00083862"/>
  </w:style>
  <w:style w:type="character" w:customStyle="1" w:styleId="TextocomentarioCar">
    <w:name w:val="Texto comentario Car"/>
    <w:link w:val="Textocomentario"/>
    <w:uiPriority w:val="99"/>
    <w:semiHidden/>
    <w:locked/>
    <w:rsid w:val="00083862"/>
    <w:rPr>
      <w:rFonts w:cs="Times New Roman"/>
      <w:lang w:val="es-ES_tradnl"/>
    </w:rPr>
  </w:style>
  <w:style w:type="paragraph" w:styleId="Asuntodelcomentario">
    <w:name w:val="annotation subject"/>
    <w:basedOn w:val="Textocomentario"/>
    <w:next w:val="Textocomentario"/>
    <w:link w:val="AsuntodelcomentarioCar"/>
    <w:uiPriority w:val="99"/>
    <w:semiHidden/>
    <w:rsid w:val="00083862"/>
    <w:rPr>
      <w:b/>
      <w:bCs/>
    </w:rPr>
  </w:style>
  <w:style w:type="character" w:customStyle="1" w:styleId="AsuntodelcomentarioCar">
    <w:name w:val="Asunto del comentario Car"/>
    <w:link w:val="Asuntodelcomentario"/>
    <w:uiPriority w:val="99"/>
    <w:semiHidden/>
    <w:locked/>
    <w:rsid w:val="00083862"/>
    <w:rPr>
      <w:rFonts w:cs="Times New Roman"/>
      <w:b/>
      <w:bCs/>
      <w:lang w:val="es-ES_tradnl"/>
    </w:rPr>
  </w:style>
  <w:style w:type="character" w:styleId="Refdenotaalpie">
    <w:name w:val="footnote reference"/>
    <w:semiHidden/>
    <w:rsid w:val="00897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172">
      <w:bodyDiv w:val="1"/>
      <w:marLeft w:val="0"/>
      <w:marRight w:val="0"/>
      <w:marTop w:val="0"/>
      <w:marBottom w:val="0"/>
      <w:divBdr>
        <w:top w:val="none" w:sz="0" w:space="0" w:color="auto"/>
        <w:left w:val="none" w:sz="0" w:space="0" w:color="auto"/>
        <w:bottom w:val="none" w:sz="0" w:space="0" w:color="auto"/>
        <w:right w:val="none" w:sz="0" w:space="0" w:color="auto"/>
      </w:divBdr>
    </w:div>
    <w:div w:id="121729940">
      <w:bodyDiv w:val="1"/>
      <w:marLeft w:val="0"/>
      <w:marRight w:val="0"/>
      <w:marTop w:val="0"/>
      <w:marBottom w:val="0"/>
      <w:divBdr>
        <w:top w:val="none" w:sz="0" w:space="0" w:color="auto"/>
        <w:left w:val="none" w:sz="0" w:space="0" w:color="auto"/>
        <w:bottom w:val="none" w:sz="0" w:space="0" w:color="auto"/>
        <w:right w:val="none" w:sz="0" w:space="0" w:color="auto"/>
      </w:divBdr>
    </w:div>
    <w:div w:id="204104292">
      <w:bodyDiv w:val="1"/>
      <w:marLeft w:val="0"/>
      <w:marRight w:val="0"/>
      <w:marTop w:val="0"/>
      <w:marBottom w:val="0"/>
      <w:divBdr>
        <w:top w:val="none" w:sz="0" w:space="0" w:color="auto"/>
        <w:left w:val="none" w:sz="0" w:space="0" w:color="auto"/>
        <w:bottom w:val="none" w:sz="0" w:space="0" w:color="auto"/>
        <w:right w:val="none" w:sz="0" w:space="0" w:color="auto"/>
      </w:divBdr>
    </w:div>
    <w:div w:id="485979567">
      <w:bodyDiv w:val="1"/>
      <w:marLeft w:val="0"/>
      <w:marRight w:val="0"/>
      <w:marTop w:val="0"/>
      <w:marBottom w:val="0"/>
      <w:divBdr>
        <w:top w:val="none" w:sz="0" w:space="0" w:color="auto"/>
        <w:left w:val="none" w:sz="0" w:space="0" w:color="auto"/>
        <w:bottom w:val="none" w:sz="0" w:space="0" w:color="auto"/>
        <w:right w:val="none" w:sz="0" w:space="0" w:color="auto"/>
      </w:divBdr>
    </w:div>
    <w:div w:id="669598127">
      <w:bodyDiv w:val="1"/>
      <w:marLeft w:val="0"/>
      <w:marRight w:val="0"/>
      <w:marTop w:val="0"/>
      <w:marBottom w:val="0"/>
      <w:divBdr>
        <w:top w:val="none" w:sz="0" w:space="0" w:color="auto"/>
        <w:left w:val="none" w:sz="0" w:space="0" w:color="auto"/>
        <w:bottom w:val="none" w:sz="0" w:space="0" w:color="auto"/>
        <w:right w:val="none" w:sz="0" w:space="0" w:color="auto"/>
      </w:divBdr>
    </w:div>
    <w:div w:id="1159148733">
      <w:bodyDiv w:val="1"/>
      <w:marLeft w:val="0"/>
      <w:marRight w:val="0"/>
      <w:marTop w:val="0"/>
      <w:marBottom w:val="0"/>
      <w:divBdr>
        <w:top w:val="none" w:sz="0" w:space="0" w:color="auto"/>
        <w:left w:val="none" w:sz="0" w:space="0" w:color="auto"/>
        <w:bottom w:val="none" w:sz="0" w:space="0" w:color="auto"/>
        <w:right w:val="none" w:sz="0" w:space="0" w:color="auto"/>
      </w:divBdr>
    </w:div>
    <w:div w:id="1245988925">
      <w:bodyDiv w:val="1"/>
      <w:marLeft w:val="0"/>
      <w:marRight w:val="0"/>
      <w:marTop w:val="0"/>
      <w:marBottom w:val="0"/>
      <w:divBdr>
        <w:top w:val="none" w:sz="0" w:space="0" w:color="auto"/>
        <w:left w:val="none" w:sz="0" w:space="0" w:color="auto"/>
        <w:bottom w:val="none" w:sz="0" w:space="0" w:color="auto"/>
        <w:right w:val="none" w:sz="0" w:space="0" w:color="auto"/>
      </w:divBdr>
    </w:div>
    <w:div w:id="1255629380">
      <w:bodyDiv w:val="1"/>
      <w:marLeft w:val="0"/>
      <w:marRight w:val="0"/>
      <w:marTop w:val="0"/>
      <w:marBottom w:val="0"/>
      <w:divBdr>
        <w:top w:val="none" w:sz="0" w:space="0" w:color="auto"/>
        <w:left w:val="none" w:sz="0" w:space="0" w:color="auto"/>
        <w:bottom w:val="none" w:sz="0" w:space="0" w:color="auto"/>
        <w:right w:val="none" w:sz="0" w:space="0" w:color="auto"/>
      </w:divBdr>
    </w:div>
    <w:div w:id="1323584611">
      <w:bodyDiv w:val="1"/>
      <w:marLeft w:val="0"/>
      <w:marRight w:val="0"/>
      <w:marTop w:val="0"/>
      <w:marBottom w:val="0"/>
      <w:divBdr>
        <w:top w:val="none" w:sz="0" w:space="0" w:color="auto"/>
        <w:left w:val="none" w:sz="0" w:space="0" w:color="auto"/>
        <w:bottom w:val="none" w:sz="0" w:space="0" w:color="auto"/>
        <w:right w:val="none" w:sz="0" w:space="0" w:color="auto"/>
      </w:divBdr>
    </w:div>
    <w:div w:id="1392343875">
      <w:bodyDiv w:val="1"/>
      <w:marLeft w:val="0"/>
      <w:marRight w:val="0"/>
      <w:marTop w:val="0"/>
      <w:marBottom w:val="0"/>
      <w:divBdr>
        <w:top w:val="none" w:sz="0" w:space="0" w:color="auto"/>
        <w:left w:val="none" w:sz="0" w:space="0" w:color="auto"/>
        <w:bottom w:val="none" w:sz="0" w:space="0" w:color="auto"/>
        <w:right w:val="none" w:sz="0" w:space="0" w:color="auto"/>
      </w:divBdr>
    </w:div>
    <w:div w:id="1772553725">
      <w:bodyDiv w:val="1"/>
      <w:marLeft w:val="0"/>
      <w:marRight w:val="0"/>
      <w:marTop w:val="0"/>
      <w:marBottom w:val="0"/>
      <w:divBdr>
        <w:top w:val="none" w:sz="0" w:space="0" w:color="auto"/>
        <w:left w:val="none" w:sz="0" w:space="0" w:color="auto"/>
        <w:bottom w:val="none" w:sz="0" w:space="0" w:color="auto"/>
        <w:right w:val="none" w:sz="0" w:space="0" w:color="auto"/>
      </w:divBdr>
    </w:div>
    <w:div w:id="1947694569">
      <w:bodyDiv w:val="1"/>
      <w:marLeft w:val="0"/>
      <w:marRight w:val="0"/>
      <w:marTop w:val="0"/>
      <w:marBottom w:val="0"/>
      <w:divBdr>
        <w:top w:val="none" w:sz="0" w:space="0" w:color="auto"/>
        <w:left w:val="none" w:sz="0" w:space="0" w:color="auto"/>
        <w:bottom w:val="none" w:sz="0" w:space="0" w:color="auto"/>
        <w:right w:val="none" w:sz="0" w:space="0" w:color="auto"/>
      </w:divBdr>
    </w:div>
    <w:div w:id="1961692248">
      <w:marLeft w:val="0"/>
      <w:marRight w:val="0"/>
      <w:marTop w:val="0"/>
      <w:marBottom w:val="0"/>
      <w:divBdr>
        <w:top w:val="none" w:sz="0" w:space="0" w:color="auto"/>
        <w:left w:val="none" w:sz="0" w:space="0" w:color="auto"/>
        <w:bottom w:val="none" w:sz="0" w:space="0" w:color="auto"/>
        <w:right w:val="none" w:sz="0" w:space="0" w:color="auto"/>
      </w:divBdr>
    </w:div>
    <w:div w:id="1961692249">
      <w:marLeft w:val="0"/>
      <w:marRight w:val="0"/>
      <w:marTop w:val="0"/>
      <w:marBottom w:val="0"/>
      <w:divBdr>
        <w:top w:val="none" w:sz="0" w:space="0" w:color="auto"/>
        <w:left w:val="none" w:sz="0" w:space="0" w:color="auto"/>
        <w:bottom w:val="none" w:sz="0" w:space="0" w:color="auto"/>
        <w:right w:val="none" w:sz="0" w:space="0" w:color="auto"/>
      </w:divBdr>
    </w:div>
    <w:div w:id="1961692250">
      <w:marLeft w:val="0"/>
      <w:marRight w:val="0"/>
      <w:marTop w:val="0"/>
      <w:marBottom w:val="0"/>
      <w:divBdr>
        <w:top w:val="none" w:sz="0" w:space="0" w:color="auto"/>
        <w:left w:val="none" w:sz="0" w:space="0" w:color="auto"/>
        <w:bottom w:val="none" w:sz="0" w:space="0" w:color="auto"/>
        <w:right w:val="none" w:sz="0" w:space="0" w:color="auto"/>
      </w:divBdr>
    </w:div>
    <w:div w:id="1961692251">
      <w:marLeft w:val="0"/>
      <w:marRight w:val="0"/>
      <w:marTop w:val="0"/>
      <w:marBottom w:val="0"/>
      <w:divBdr>
        <w:top w:val="none" w:sz="0" w:space="0" w:color="auto"/>
        <w:left w:val="none" w:sz="0" w:space="0" w:color="auto"/>
        <w:bottom w:val="none" w:sz="0" w:space="0" w:color="auto"/>
        <w:right w:val="none" w:sz="0" w:space="0" w:color="auto"/>
      </w:divBdr>
    </w:div>
    <w:div w:id="1961692252">
      <w:marLeft w:val="0"/>
      <w:marRight w:val="0"/>
      <w:marTop w:val="0"/>
      <w:marBottom w:val="0"/>
      <w:divBdr>
        <w:top w:val="none" w:sz="0" w:space="0" w:color="auto"/>
        <w:left w:val="none" w:sz="0" w:space="0" w:color="auto"/>
        <w:bottom w:val="none" w:sz="0" w:space="0" w:color="auto"/>
        <w:right w:val="none" w:sz="0" w:space="0" w:color="auto"/>
      </w:divBdr>
    </w:div>
    <w:div w:id="1961692253">
      <w:marLeft w:val="0"/>
      <w:marRight w:val="0"/>
      <w:marTop w:val="0"/>
      <w:marBottom w:val="0"/>
      <w:divBdr>
        <w:top w:val="none" w:sz="0" w:space="0" w:color="auto"/>
        <w:left w:val="none" w:sz="0" w:space="0" w:color="auto"/>
        <w:bottom w:val="none" w:sz="0" w:space="0" w:color="auto"/>
        <w:right w:val="none" w:sz="0" w:space="0" w:color="auto"/>
      </w:divBdr>
    </w:div>
    <w:div w:id="1961692254">
      <w:marLeft w:val="0"/>
      <w:marRight w:val="0"/>
      <w:marTop w:val="0"/>
      <w:marBottom w:val="0"/>
      <w:divBdr>
        <w:top w:val="none" w:sz="0" w:space="0" w:color="auto"/>
        <w:left w:val="none" w:sz="0" w:space="0" w:color="auto"/>
        <w:bottom w:val="none" w:sz="0" w:space="0" w:color="auto"/>
        <w:right w:val="none" w:sz="0" w:space="0" w:color="auto"/>
      </w:divBdr>
    </w:div>
    <w:div w:id="1961692255">
      <w:marLeft w:val="0"/>
      <w:marRight w:val="0"/>
      <w:marTop w:val="0"/>
      <w:marBottom w:val="0"/>
      <w:divBdr>
        <w:top w:val="none" w:sz="0" w:space="0" w:color="auto"/>
        <w:left w:val="none" w:sz="0" w:space="0" w:color="auto"/>
        <w:bottom w:val="none" w:sz="0" w:space="0" w:color="auto"/>
        <w:right w:val="none" w:sz="0" w:space="0" w:color="auto"/>
      </w:divBdr>
    </w:div>
    <w:div w:id="1961692256">
      <w:marLeft w:val="0"/>
      <w:marRight w:val="0"/>
      <w:marTop w:val="0"/>
      <w:marBottom w:val="0"/>
      <w:divBdr>
        <w:top w:val="none" w:sz="0" w:space="0" w:color="auto"/>
        <w:left w:val="none" w:sz="0" w:space="0" w:color="auto"/>
        <w:bottom w:val="none" w:sz="0" w:space="0" w:color="auto"/>
        <w:right w:val="none" w:sz="0" w:space="0" w:color="auto"/>
      </w:divBdr>
    </w:div>
    <w:div w:id="1961692257">
      <w:marLeft w:val="0"/>
      <w:marRight w:val="0"/>
      <w:marTop w:val="0"/>
      <w:marBottom w:val="0"/>
      <w:divBdr>
        <w:top w:val="none" w:sz="0" w:space="0" w:color="auto"/>
        <w:left w:val="none" w:sz="0" w:space="0" w:color="auto"/>
        <w:bottom w:val="none" w:sz="0" w:space="0" w:color="auto"/>
        <w:right w:val="none" w:sz="0" w:space="0" w:color="auto"/>
      </w:divBdr>
    </w:div>
    <w:div w:id="1961692258">
      <w:marLeft w:val="0"/>
      <w:marRight w:val="0"/>
      <w:marTop w:val="0"/>
      <w:marBottom w:val="0"/>
      <w:divBdr>
        <w:top w:val="none" w:sz="0" w:space="0" w:color="auto"/>
        <w:left w:val="none" w:sz="0" w:space="0" w:color="auto"/>
        <w:bottom w:val="none" w:sz="0" w:space="0" w:color="auto"/>
        <w:right w:val="none" w:sz="0" w:space="0" w:color="auto"/>
      </w:divBdr>
    </w:div>
    <w:div w:id="1961692259">
      <w:marLeft w:val="0"/>
      <w:marRight w:val="0"/>
      <w:marTop w:val="0"/>
      <w:marBottom w:val="0"/>
      <w:divBdr>
        <w:top w:val="none" w:sz="0" w:space="0" w:color="auto"/>
        <w:left w:val="none" w:sz="0" w:space="0" w:color="auto"/>
        <w:bottom w:val="none" w:sz="0" w:space="0" w:color="auto"/>
        <w:right w:val="none" w:sz="0" w:space="0" w:color="auto"/>
      </w:divBdr>
    </w:div>
    <w:div w:id="1961692260">
      <w:marLeft w:val="0"/>
      <w:marRight w:val="0"/>
      <w:marTop w:val="0"/>
      <w:marBottom w:val="0"/>
      <w:divBdr>
        <w:top w:val="none" w:sz="0" w:space="0" w:color="auto"/>
        <w:left w:val="none" w:sz="0" w:space="0" w:color="auto"/>
        <w:bottom w:val="none" w:sz="0" w:space="0" w:color="auto"/>
        <w:right w:val="none" w:sz="0" w:space="0" w:color="auto"/>
      </w:divBdr>
    </w:div>
    <w:div w:id="1961692261">
      <w:marLeft w:val="0"/>
      <w:marRight w:val="0"/>
      <w:marTop w:val="0"/>
      <w:marBottom w:val="0"/>
      <w:divBdr>
        <w:top w:val="none" w:sz="0" w:space="0" w:color="auto"/>
        <w:left w:val="none" w:sz="0" w:space="0" w:color="auto"/>
        <w:bottom w:val="none" w:sz="0" w:space="0" w:color="auto"/>
        <w:right w:val="none" w:sz="0" w:space="0" w:color="auto"/>
      </w:divBdr>
    </w:div>
    <w:div w:id="1961692262">
      <w:marLeft w:val="0"/>
      <w:marRight w:val="0"/>
      <w:marTop w:val="0"/>
      <w:marBottom w:val="0"/>
      <w:divBdr>
        <w:top w:val="none" w:sz="0" w:space="0" w:color="auto"/>
        <w:left w:val="none" w:sz="0" w:space="0" w:color="auto"/>
        <w:bottom w:val="none" w:sz="0" w:space="0" w:color="auto"/>
        <w:right w:val="none" w:sz="0" w:space="0" w:color="auto"/>
      </w:divBdr>
    </w:div>
    <w:div w:id="1961692263">
      <w:marLeft w:val="0"/>
      <w:marRight w:val="0"/>
      <w:marTop w:val="0"/>
      <w:marBottom w:val="0"/>
      <w:divBdr>
        <w:top w:val="none" w:sz="0" w:space="0" w:color="auto"/>
        <w:left w:val="none" w:sz="0" w:space="0" w:color="auto"/>
        <w:bottom w:val="none" w:sz="0" w:space="0" w:color="auto"/>
        <w:right w:val="none" w:sz="0" w:space="0" w:color="auto"/>
      </w:divBdr>
    </w:div>
    <w:div w:id="1961692264">
      <w:marLeft w:val="0"/>
      <w:marRight w:val="0"/>
      <w:marTop w:val="0"/>
      <w:marBottom w:val="0"/>
      <w:divBdr>
        <w:top w:val="none" w:sz="0" w:space="0" w:color="auto"/>
        <w:left w:val="none" w:sz="0" w:space="0" w:color="auto"/>
        <w:bottom w:val="none" w:sz="0" w:space="0" w:color="auto"/>
        <w:right w:val="none" w:sz="0" w:space="0" w:color="auto"/>
      </w:divBdr>
    </w:div>
    <w:div w:id="1961692265">
      <w:marLeft w:val="0"/>
      <w:marRight w:val="0"/>
      <w:marTop w:val="0"/>
      <w:marBottom w:val="0"/>
      <w:divBdr>
        <w:top w:val="none" w:sz="0" w:space="0" w:color="auto"/>
        <w:left w:val="none" w:sz="0" w:space="0" w:color="auto"/>
        <w:bottom w:val="none" w:sz="0" w:space="0" w:color="auto"/>
        <w:right w:val="none" w:sz="0" w:space="0" w:color="auto"/>
      </w:divBdr>
    </w:div>
    <w:div w:id="1961692266">
      <w:marLeft w:val="0"/>
      <w:marRight w:val="0"/>
      <w:marTop w:val="0"/>
      <w:marBottom w:val="0"/>
      <w:divBdr>
        <w:top w:val="none" w:sz="0" w:space="0" w:color="auto"/>
        <w:left w:val="none" w:sz="0" w:space="0" w:color="auto"/>
        <w:bottom w:val="none" w:sz="0" w:space="0" w:color="auto"/>
        <w:right w:val="none" w:sz="0" w:space="0" w:color="auto"/>
      </w:divBdr>
    </w:div>
    <w:div w:id="1961692267">
      <w:marLeft w:val="0"/>
      <w:marRight w:val="0"/>
      <w:marTop w:val="0"/>
      <w:marBottom w:val="0"/>
      <w:divBdr>
        <w:top w:val="none" w:sz="0" w:space="0" w:color="auto"/>
        <w:left w:val="none" w:sz="0" w:space="0" w:color="auto"/>
        <w:bottom w:val="none" w:sz="0" w:space="0" w:color="auto"/>
        <w:right w:val="none" w:sz="0" w:space="0" w:color="auto"/>
      </w:divBdr>
    </w:div>
    <w:div w:id="1961692268">
      <w:marLeft w:val="0"/>
      <w:marRight w:val="0"/>
      <w:marTop w:val="0"/>
      <w:marBottom w:val="0"/>
      <w:divBdr>
        <w:top w:val="none" w:sz="0" w:space="0" w:color="auto"/>
        <w:left w:val="none" w:sz="0" w:space="0" w:color="auto"/>
        <w:bottom w:val="none" w:sz="0" w:space="0" w:color="auto"/>
        <w:right w:val="none" w:sz="0" w:space="0" w:color="auto"/>
      </w:divBdr>
    </w:div>
    <w:div w:id="1961692269">
      <w:marLeft w:val="0"/>
      <w:marRight w:val="0"/>
      <w:marTop w:val="0"/>
      <w:marBottom w:val="0"/>
      <w:divBdr>
        <w:top w:val="none" w:sz="0" w:space="0" w:color="auto"/>
        <w:left w:val="none" w:sz="0" w:space="0" w:color="auto"/>
        <w:bottom w:val="none" w:sz="0" w:space="0" w:color="auto"/>
        <w:right w:val="none" w:sz="0" w:space="0" w:color="auto"/>
      </w:divBdr>
    </w:div>
    <w:div w:id="1961692270">
      <w:marLeft w:val="0"/>
      <w:marRight w:val="0"/>
      <w:marTop w:val="0"/>
      <w:marBottom w:val="0"/>
      <w:divBdr>
        <w:top w:val="none" w:sz="0" w:space="0" w:color="auto"/>
        <w:left w:val="none" w:sz="0" w:space="0" w:color="auto"/>
        <w:bottom w:val="none" w:sz="0" w:space="0" w:color="auto"/>
        <w:right w:val="none" w:sz="0" w:space="0" w:color="auto"/>
      </w:divBdr>
    </w:div>
    <w:div w:id="1961692271">
      <w:marLeft w:val="0"/>
      <w:marRight w:val="0"/>
      <w:marTop w:val="0"/>
      <w:marBottom w:val="0"/>
      <w:divBdr>
        <w:top w:val="none" w:sz="0" w:space="0" w:color="auto"/>
        <w:left w:val="none" w:sz="0" w:space="0" w:color="auto"/>
        <w:bottom w:val="none" w:sz="0" w:space="0" w:color="auto"/>
        <w:right w:val="none" w:sz="0" w:space="0" w:color="auto"/>
      </w:divBdr>
    </w:div>
    <w:div w:id="1961692272">
      <w:marLeft w:val="0"/>
      <w:marRight w:val="0"/>
      <w:marTop w:val="0"/>
      <w:marBottom w:val="0"/>
      <w:divBdr>
        <w:top w:val="none" w:sz="0" w:space="0" w:color="auto"/>
        <w:left w:val="none" w:sz="0" w:space="0" w:color="auto"/>
        <w:bottom w:val="none" w:sz="0" w:space="0" w:color="auto"/>
        <w:right w:val="none" w:sz="0" w:space="0" w:color="auto"/>
      </w:divBdr>
    </w:div>
    <w:div w:id="1961692273">
      <w:marLeft w:val="0"/>
      <w:marRight w:val="0"/>
      <w:marTop w:val="0"/>
      <w:marBottom w:val="0"/>
      <w:divBdr>
        <w:top w:val="none" w:sz="0" w:space="0" w:color="auto"/>
        <w:left w:val="none" w:sz="0" w:space="0" w:color="auto"/>
        <w:bottom w:val="none" w:sz="0" w:space="0" w:color="auto"/>
        <w:right w:val="none" w:sz="0" w:space="0" w:color="auto"/>
      </w:divBdr>
    </w:div>
    <w:div w:id="1961692274">
      <w:marLeft w:val="0"/>
      <w:marRight w:val="0"/>
      <w:marTop w:val="0"/>
      <w:marBottom w:val="0"/>
      <w:divBdr>
        <w:top w:val="none" w:sz="0" w:space="0" w:color="auto"/>
        <w:left w:val="none" w:sz="0" w:space="0" w:color="auto"/>
        <w:bottom w:val="none" w:sz="0" w:space="0" w:color="auto"/>
        <w:right w:val="none" w:sz="0" w:space="0" w:color="auto"/>
      </w:divBdr>
    </w:div>
    <w:div w:id="1961692275">
      <w:marLeft w:val="0"/>
      <w:marRight w:val="0"/>
      <w:marTop w:val="0"/>
      <w:marBottom w:val="0"/>
      <w:divBdr>
        <w:top w:val="none" w:sz="0" w:space="0" w:color="auto"/>
        <w:left w:val="none" w:sz="0" w:space="0" w:color="auto"/>
        <w:bottom w:val="none" w:sz="0" w:space="0" w:color="auto"/>
        <w:right w:val="none" w:sz="0" w:space="0" w:color="auto"/>
      </w:divBdr>
    </w:div>
    <w:div w:id="1961692276">
      <w:marLeft w:val="0"/>
      <w:marRight w:val="0"/>
      <w:marTop w:val="0"/>
      <w:marBottom w:val="0"/>
      <w:divBdr>
        <w:top w:val="none" w:sz="0" w:space="0" w:color="auto"/>
        <w:left w:val="none" w:sz="0" w:space="0" w:color="auto"/>
        <w:bottom w:val="none" w:sz="0" w:space="0" w:color="auto"/>
        <w:right w:val="none" w:sz="0" w:space="0" w:color="auto"/>
      </w:divBdr>
    </w:div>
    <w:div w:id="1961692277">
      <w:marLeft w:val="0"/>
      <w:marRight w:val="0"/>
      <w:marTop w:val="0"/>
      <w:marBottom w:val="0"/>
      <w:divBdr>
        <w:top w:val="none" w:sz="0" w:space="0" w:color="auto"/>
        <w:left w:val="none" w:sz="0" w:space="0" w:color="auto"/>
        <w:bottom w:val="none" w:sz="0" w:space="0" w:color="auto"/>
        <w:right w:val="none" w:sz="0" w:space="0" w:color="auto"/>
      </w:divBdr>
    </w:div>
    <w:div w:id="1961692278">
      <w:marLeft w:val="0"/>
      <w:marRight w:val="0"/>
      <w:marTop w:val="0"/>
      <w:marBottom w:val="0"/>
      <w:divBdr>
        <w:top w:val="none" w:sz="0" w:space="0" w:color="auto"/>
        <w:left w:val="none" w:sz="0" w:space="0" w:color="auto"/>
        <w:bottom w:val="none" w:sz="0" w:space="0" w:color="auto"/>
        <w:right w:val="none" w:sz="0" w:space="0" w:color="auto"/>
      </w:divBdr>
    </w:div>
    <w:div w:id="1961692279">
      <w:marLeft w:val="0"/>
      <w:marRight w:val="0"/>
      <w:marTop w:val="0"/>
      <w:marBottom w:val="0"/>
      <w:divBdr>
        <w:top w:val="none" w:sz="0" w:space="0" w:color="auto"/>
        <w:left w:val="none" w:sz="0" w:space="0" w:color="auto"/>
        <w:bottom w:val="none" w:sz="0" w:space="0" w:color="auto"/>
        <w:right w:val="none" w:sz="0" w:space="0" w:color="auto"/>
      </w:divBdr>
    </w:div>
    <w:div w:id="1961692280">
      <w:marLeft w:val="0"/>
      <w:marRight w:val="0"/>
      <w:marTop w:val="0"/>
      <w:marBottom w:val="0"/>
      <w:divBdr>
        <w:top w:val="none" w:sz="0" w:space="0" w:color="auto"/>
        <w:left w:val="none" w:sz="0" w:space="0" w:color="auto"/>
        <w:bottom w:val="none" w:sz="0" w:space="0" w:color="auto"/>
        <w:right w:val="none" w:sz="0" w:space="0" w:color="auto"/>
      </w:divBdr>
    </w:div>
    <w:div w:id="1961692281">
      <w:marLeft w:val="0"/>
      <w:marRight w:val="0"/>
      <w:marTop w:val="0"/>
      <w:marBottom w:val="0"/>
      <w:divBdr>
        <w:top w:val="none" w:sz="0" w:space="0" w:color="auto"/>
        <w:left w:val="none" w:sz="0" w:space="0" w:color="auto"/>
        <w:bottom w:val="none" w:sz="0" w:space="0" w:color="auto"/>
        <w:right w:val="none" w:sz="0" w:space="0" w:color="auto"/>
      </w:divBdr>
    </w:div>
    <w:div w:id="1961692282">
      <w:marLeft w:val="0"/>
      <w:marRight w:val="0"/>
      <w:marTop w:val="0"/>
      <w:marBottom w:val="0"/>
      <w:divBdr>
        <w:top w:val="none" w:sz="0" w:space="0" w:color="auto"/>
        <w:left w:val="none" w:sz="0" w:space="0" w:color="auto"/>
        <w:bottom w:val="none" w:sz="0" w:space="0" w:color="auto"/>
        <w:right w:val="none" w:sz="0" w:space="0" w:color="auto"/>
      </w:divBdr>
    </w:div>
    <w:div w:id="1961692283">
      <w:marLeft w:val="0"/>
      <w:marRight w:val="0"/>
      <w:marTop w:val="0"/>
      <w:marBottom w:val="0"/>
      <w:divBdr>
        <w:top w:val="none" w:sz="0" w:space="0" w:color="auto"/>
        <w:left w:val="none" w:sz="0" w:space="0" w:color="auto"/>
        <w:bottom w:val="none" w:sz="0" w:space="0" w:color="auto"/>
        <w:right w:val="none" w:sz="0" w:space="0" w:color="auto"/>
      </w:divBdr>
    </w:div>
    <w:div w:id="1961692284">
      <w:marLeft w:val="0"/>
      <w:marRight w:val="0"/>
      <w:marTop w:val="0"/>
      <w:marBottom w:val="0"/>
      <w:divBdr>
        <w:top w:val="none" w:sz="0" w:space="0" w:color="auto"/>
        <w:left w:val="none" w:sz="0" w:space="0" w:color="auto"/>
        <w:bottom w:val="none" w:sz="0" w:space="0" w:color="auto"/>
        <w:right w:val="none" w:sz="0" w:space="0" w:color="auto"/>
      </w:divBdr>
    </w:div>
    <w:div w:id="1961692285">
      <w:marLeft w:val="0"/>
      <w:marRight w:val="0"/>
      <w:marTop w:val="0"/>
      <w:marBottom w:val="0"/>
      <w:divBdr>
        <w:top w:val="none" w:sz="0" w:space="0" w:color="auto"/>
        <w:left w:val="none" w:sz="0" w:space="0" w:color="auto"/>
        <w:bottom w:val="none" w:sz="0" w:space="0" w:color="auto"/>
        <w:right w:val="none" w:sz="0" w:space="0" w:color="auto"/>
      </w:divBdr>
    </w:div>
    <w:div w:id="1961692286">
      <w:marLeft w:val="0"/>
      <w:marRight w:val="0"/>
      <w:marTop w:val="0"/>
      <w:marBottom w:val="0"/>
      <w:divBdr>
        <w:top w:val="none" w:sz="0" w:space="0" w:color="auto"/>
        <w:left w:val="none" w:sz="0" w:space="0" w:color="auto"/>
        <w:bottom w:val="none" w:sz="0" w:space="0" w:color="auto"/>
        <w:right w:val="none" w:sz="0" w:space="0" w:color="auto"/>
      </w:divBdr>
    </w:div>
    <w:div w:id="1961692287">
      <w:marLeft w:val="0"/>
      <w:marRight w:val="0"/>
      <w:marTop w:val="0"/>
      <w:marBottom w:val="0"/>
      <w:divBdr>
        <w:top w:val="none" w:sz="0" w:space="0" w:color="auto"/>
        <w:left w:val="none" w:sz="0" w:space="0" w:color="auto"/>
        <w:bottom w:val="none" w:sz="0" w:space="0" w:color="auto"/>
        <w:right w:val="none" w:sz="0" w:space="0" w:color="auto"/>
      </w:divBdr>
    </w:div>
    <w:div w:id="1961692288">
      <w:marLeft w:val="0"/>
      <w:marRight w:val="0"/>
      <w:marTop w:val="0"/>
      <w:marBottom w:val="0"/>
      <w:divBdr>
        <w:top w:val="none" w:sz="0" w:space="0" w:color="auto"/>
        <w:left w:val="none" w:sz="0" w:space="0" w:color="auto"/>
        <w:bottom w:val="none" w:sz="0" w:space="0" w:color="auto"/>
        <w:right w:val="none" w:sz="0" w:space="0" w:color="auto"/>
      </w:divBdr>
    </w:div>
    <w:div w:id="1961692289">
      <w:marLeft w:val="0"/>
      <w:marRight w:val="0"/>
      <w:marTop w:val="0"/>
      <w:marBottom w:val="0"/>
      <w:divBdr>
        <w:top w:val="none" w:sz="0" w:space="0" w:color="auto"/>
        <w:left w:val="none" w:sz="0" w:space="0" w:color="auto"/>
        <w:bottom w:val="none" w:sz="0" w:space="0" w:color="auto"/>
        <w:right w:val="none" w:sz="0" w:space="0" w:color="auto"/>
      </w:divBdr>
    </w:div>
    <w:div w:id="1961692290">
      <w:marLeft w:val="0"/>
      <w:marRight w:val="0"/>
      <w:marTop w:val="0"/>
      <w:marBottom w:val="0"/>
      <w:divBdr>
        <w:top w:val="none" w:sz="0" w:space="0" w:color="auto"/>
        <w:left w:val="none" w:sz="0" w:space="0" w:color="auto"/>
        <w:bottom w:val="none" w:sz="0" w:space="0" w:color="auto"/>
        <w:right w:val="none" w:sz="0" w:space="0" w:color="auto"/>
      </w:divBdr>
    </w:div>
    <w:div w:id="1961692291">
      <w:marLeft w:val="0"/>
      <w:marRight w:val="0"/>
      <w:marTop w:val="0"/>
      <w:marBottom w:val="0"/>
      <w:divBdr>
        <w:top w:val="none" w:sz="0" w:space="0" w:color="auto"/>
        <w:left w:val="none" w:sz="0" w:space="0" w:color="auto"/>
        <w:bottom w:val="none" w:sz="0" w:space="0" w:color="auto"/>
        <w:right w:val="none" w:sz="0" w:space="0" w:color="auto"/>
      </w:divBdr>
    </w:div>
    <w:div w:id="1961692292">
      <w:marLeft w:val="0"/>
      <w:marRight w:val="0"/>
      <w:marTop w:val="0"/>
      <w:marBottom w:val="0"/>
      <w:divBdr>
        <w:top w:val="none" w:sz="0" w:space="0" w:color="auto"/>
        <w:left w:val="none" w:sz="0" w:space="0" w:color="auto"/>
        <w:bottom w:val="none" w:sz="0" w:space="0" w:color="auto"/>
        <w:right w:val="none" w:sz="0" w:space="0" w:color="auto"/>
      </w:divBdr>
    </w:div>
    <w:div w:id="1961692293">
      <w:marLeft w:val="0"/>
      <w:marRight w:val="0"/>
      <w:marTop w:val="0"/>
      <w:marBottom w:val="0"/>
      <w:divBdr>
        <w:top w:val="none" w:sz="0" w:space="0" w:color="auto"/>
        <w:left w:val="none" w:sz="0" w:space="0" w:color="auto"/>
        <w:bottom w:val="none" w:sz="0" w:space="0" w:color="auto"/>
        <w:right w:val="none" w:sz="0" w:space="0" w:color="auto"/>
      </w:divBdr>
    </w:div>
    <w:div w:id="1961692294">
      <w:marLeft w:val="0"/>
      <w:marRight w:val="0"/>
      <w:marTop w:val="0"/>
      <w:marBottom w:val="0"/>
      <w:divBdr>
        <w:top w:val="none" w:sz="0" w:space="0" w:color="auto"/>
        <w:left w:val="none" w:sz="0" w:space="0" w:color="auto"/>
        <w:bottom w:val="none" w:sz="0" w:space="0" w:color="auto"/>
        <w:right w:val="none" w:sz="0" w:space="0" w:color="auto"/>
      </w:divBdr>
    </w:div>
    <w:div w:id="1961692295">
      <w:marLeft w:val="0"/>
      <w:marRight w:val="0"/>
      <w:marTop w:val="0"/>
      <w:marBottom w:val="0"/>
      <w:divBdr>
        <w:top w:val="none" w:sz="0" w:space="0" w:color="auto"/>
        <w:left w:val="none" w:sz="0" w:space="0" w:color="auto"/>
        <w:bottom w:val="none" w:sz="0" w:space="0" w:color="auto"/>
        <w:right w:val="none" w:sz="0" w:space="0" w:color="auto"/>
      </w:divBdr>
    </w:div>
    <w:div w:id="1961692296">
      <w:marLeft w:val="0"/>
      <w:marRight w:val="0"/>
      <w:marTop w:val="0"/>
      <w:marBottom w:val="0"/>
      <w:divBdr>
        <w:top w:val="none" w:sz="0" w:space="0" w:color="auto"/>
        <w:left w:val="none" w:sz="0" w:space="0" w:color="auto"/>
        <w:bottom w:val="none" w:sz="0" w:space="0" w:color="auto"/>
        <w:right w:val="none" w:sz="0" w:space="0" w:color="auto"/>
      </w:divBdr>
    </w:div>
    <w:div w:id="1961692297">
      <w:marLeft w:val="0"/>
      <w:marRight w:val="0"/>
      <w:marTop w:val="0"/>
      <w:marBottom w:val="0"/>
      <w:divBdr>
        <w:top w:val="none" w:sz="0" w:space="0" w:color="auto"/>
        <w:left w:val="none" w:sz="0" w:space="0" w:color="auto"/>
        <w:bottom w:val="none" w:sz="0" w:space="0" w:color="auto"/>
        <w:right w:val="none" w:sz="0" w:space="0" w:color="auto"/>
      </w:divBdr>
    </w:div>
    <w:div w:id="1961692298">
      <w:marLeft w:val="0"/>
      <w:marRight w:val="0"/>
      <w:marTop w:val="0"/>
      <w:marBottom w:val="0"/>
      <w:divBdr>
        <w:top w:val="none" w:sz="0" w:space="0" w:color="auto"/>
        <w:left w:val="none" w:sz="0" w:space="0" w:color="auto"/>
        <w:bottom w:val="none" w:sz="0" w:space="0" w:color="auto"/>
        <w:right w:val="none" w:sz="0" w:space="0" w:color="auto"/>
      </w:divBdr>
    </w:div>
    <w:div w:id="1961692299">
      <w:marLeft w:val="0"/>
      <w:marRight w:val="0"/>
      <w:marTop w:val="0"/>
      <w:marBottom w:val="0"/>
      <w:divBdr>
        <w:top w:val="none" w:sz="0" w:space="0" w:color="auto"/>
        <w:left w:val="none" w:sz="0" w:space="0" w:color="auto"/>
        <w:bottom w:val="none" w:sz="0" w:space="0" w:color="auto"/>
        <w:right w:val="none" w:sz="0" w:space="0" w:color="auto"/>
      </w:divBdr>
    </w:div>
    <w:div w:id="1961692300">
      <w:marLeft w:val="0"/>
      <w:marRight w:val="0"/>
      <w:marTop w:val="0"/>
      <w:marBottom w:val="0"/>
      <w:divBdr>
        <w:top w:val="none" w:sz="0" w:space="0" w:color="auto"/>
        <w:left w:val="none" w:sz="0" w:space="0" w:color="auto"/>
        <w:bottom w:val="none" w:sz="0" w:space="0" w:color="auto"/>
        <w:right w:val="none" w:sz="0" w:space="0" w:color="auto"/>
      </w:divBdr>
    </w:div>
    <w:div w:id="1961692301">
      <w:marLeft w:val="0"/>
      <w:marRight w:val="0"/>
      <w:marTop w:val="0"/>
      <w:marBottom w:val="0"/>
      <w:divBdr>
        <w:top w:val="none" w:sz="0" w:space="0" w:color="auto"/>
        <w:left w:val="none" w:sz="0" w:space="0" w:color="auto"/>
        <w:bottom w:val="none" w:sz="0" w:space="0" w:color="auto"/>
        <w:right w:val="none" w:sz="0" w:space="0" w:color="auto"/>
      </w:divBdr>
    </w:div>
    <w:div w:id="1961692302">
      <w:marLeft w:val="0"/>
      <w:marRight w:val="0"/>
      <w:marTop w:val="0"/>
      <w:marBottom w:val="0"/>
      <w:divBdr>
        <w:top w:val="none" w:sz="0" w:space="0" w:color="auto"/>
        <w:left w:val="none" w:sz="0" w:space="0" w:color="auto"/>
        <w:bottom w:val="none" w:sz="0" w:space="0" w:color="auto"/>
        <w:right w:val="none" w:sz="0" w:space="0" w:color="auto"/>
      </w:divBdr>
    </w:div>
    <w:div w:id="1961692303">
      <w:marLeft w:val="0"/>
      <w:marRight w:val="0"/>
      <w:marTop w:val="0"/>
      <w:marBottom w:val="0"/>
      <w:divBdr>
        <w:top w:val="none" w:sz="0" w:space="0" w:color="auto"/>
        <w:left w:val="none" w:sz="0" w:space="0" w:color="auto"/>
        <w:bottom w:val="none" w:sz="0" w:space="0" w:color="auto"/>
        <w:right w:val="none" w:sz="0" w:space="0" w:color="auto"/>
      </w:divBdr>
    </w:div>
    <w:div w:id="1961692304">
      <w:marLeft w:val="0"/>
      <w:marRight w:val="0"/>
      <w:marTop w:val="0"/>
      <w:marBottom w:val="0"/>
      <w:divBdr>
        <w:top w:val="none" w:sz="0" w:space="0" w:color="auto"/>
        <w:left w:val="none" w:sz="0" w:space="0" w:color="auto"/>
        <w:bottom w:val="none" w:sz="0" w:space="0" w:color="auto"/>
        <w:right w:val="none" w:sz="0" w:space="0" w:color="auto"/>
      </w:divBdr>
    </w:div>
    <w:div w:id="1961692305">
      <w:marLeft w:val="0"/>
      <w:marRight w:val="0"/>
      <w:marTop w:val="0"/>
      <w:marBottom w:val="0"/>
      <w:divBdr>
        <w:top w:val="none" w:sz="0" w:space="0" w:color="auto"/>
        <w:left w:val="none" w:sz="0" w:space="0" w:color="auto"/>
        <w:bottom w:val="none" w:sz="0" w:space="0" w:color="auto"/>
        <w:right w:val="none" w:sz="0" w:space="0" w:color="auto"/>
      </w:divBdr>
    </w:div>
    <w:div w:id="1961692306">
      <w:marLeft w:val="0"/>
      <w:marRight w:val="0"/>
      <w:marTop w:val="0"/>
      <w:marBottom w:val="0"/>
      <w:divBdr>
        <w:top w:val="none" w:sz="0" w:space="0" w:color="auto"/>
        <w:left w:val="none" w:sz="0" w:space="0" w:color="auto"/>
        <w:bottom w:val="none" w:sz="0" w:space="0" w:color="auto"/>
        <w:right w:val="none" w:sz="0" w:space="0" w:color="auto"/>
      </w:divBdr>
    </w:div>
    <w:div w:id="1961692307">
      <w:marLeft w:val="0"/>
      <w:marRight w:val="0"/>
      <w:marTop w:val="0"/>
      <w:marBottom w:val="0"/>
      <w:divBdr>
        <w:top w:val="none" w:sz="0" w:space="0" w:color="auto"/>
        <w:left w:val="none" w:sz="0" w:space="0" w:color="auto"/>
        <w:bottom w:val="none" w:sz="0" w:space="0" w:color="auto"/>
        <w:right w:val="none" w:sz="0" w:space="0" w:color="auto"/>
      </w:divBdr>
    </w:div>
    <w:div w:id="1961692308">
      <w:marLeft w:val="0"/>
      <w:marRight w:val="0"/>
      <w:marTop w:val="0"/>
      <w:marBottom w:val="0"/>
      <w:divBdr>
        <w:top w:val="none" w:sz="0" w:space="0" w:color="auto"/>
        <w:left w:val="none" w:sz="0" w:space="0" w:color="auto"/>
        <w:bottom w:val="none" w:sz="0" w:space="0" w:color="auto"/>
        <w:right w:val="none" w:sz="0" w:space="0" w:color="auto"/>
      </w:divBdr>
    </w:div>
    <w:div w:id="1961692309">
      <w:marLeft w:val="0"/>
      <w:marRight w:val="0"/>
      <w:marTop w:val="0"/>
      <w:marBottom w:val="0"/>
      <w:divBdr>
        <w:top w:val="none" w:sz="0" w:space="0" w:color="auto"/>
        <w:left w:val="none" w:sz="0" w:space="0" w:color="auto"/>
        <w:bottom w:val="none" w:sz="0" w:space="0" w:color="auto"/>
        <w:right w:val="none" w:sz="0" w:space="0" w:color="auto"/>
      </w:divBdr>
    </w:div>
    <w:div w:id="1961692310">
      <w:marLeft w:val="0"/>
      <w:marRight w:val="0"/>
      <w:marTop w:val="0"/>
      <w:marBottom w:val="0"/>
      <w:divBdr>
        <w:top w:val="none" w:sz="0" w:space="0" w:color="auto"/>
        <w:left w:val="none" w:sz="0" w:space="0" w:color="auto"/>
        <w:bottom w:val="none" w:sz="0" w:space="0" w:color="auto"/>
        <w:right w:val="none" w:sz="0" w:space="0" w:color="auto"/>
      </w:divBdr>
    </w:div>
    <w:div w:id="1961692311">
      <w:marLeft w:val="0"/>
      <w:marRight w:val="0"/>
      <w:marTop w:val="0"/>
      <w:marBottom w:val="0"/>
      <w:divBdr>
        <w:top w:val="none" w:sz="0" w:space="0" w:color="auto"/>
        <w:left w:val="none" w:sz="0" w:space="0" w:color="auto"/>
        <w:bottom w:val="none" w:sz="0" w:space="0" w:color="auto"/>
        <w:right w:val="none" w:sz="0" w:space="0" w:color="auto"/>
      </w:divBdr>
    </w:div>
    <w:div w:id="1961692312">
      <w:marLeft w:val="0"/>
      <w:marRight w:val="0"/>
      <w:marTop w:val="0"/>
      <w:marBottom w:val="0"/>
      <w:divBdr>
        <w:top w:val="none" w:sz="0" w:space="0" w:color="auto"/>
        <w:left w:val="none" w:sz="0" w:space="0" w:color="auto"/>
        <w:bottom w:val="none" w:sz="0" w:space="0" w:color="auto"/>
        <w:right w:val="none" w:sz="0" w:space="0" w:color="auto"/>
      </w:divBdr>
    </w:div>
    <w:div w:id="1961692313">
      <w:marLeft w:val="0"/>
      <w:marRight w:val="0"/>
      <w:marTop w:val="0"/>
      <w:marBottom w:val="0"/>
      <w:divBdr>
        <w:top w:val="none" w:sz="0" w:space="0" w:color="auto"/>
        <w:left w:val="none" w:sz="0" w:space="0" w:color="auto"/>
        <w:bottom w:val="none" w:sz="0" w:space="0" w:color="auto"/>
        <w:right w:val="none" w:sz="0" w:space="0" w:color="auto"/>
      </w:divBdr>
    </w:div>
    <w:div w:id="1961692314">
      <w:marLeft w:val="0"/>
      <w:marRight w:val="0"/>
      <w:marTop w:val="0"/>
      <w:marBottom w:val="0"/>
      <w:divBdr>
        <w:top w:val="none" w:sz="0" w:space="0" w:color="auto"/>
        <w:left w:val="none" w:sz="0" w:space="0" w:color="auto"/>
        <w:bottom w:val="none" w:sz="0" w:space="0" w:color="auto"/>
        <w:right w:val="none" w:sz="0" w:space="0" w:color="auto"/>
      </w:divBdr>
    </w:div>
    <w:div w:id="1961692315">
      <w:marLeft w:val="0"/>
      <w:marRight w:val="0"/>
      <w:marTop w:val="0"/>
      <w:marBottom w:val="0"/>
      <w:divBdr>
        <w:top w:val="none" w:sz="0" w:space="0" w:color="auto"/>
        <w:left w:val="none" w:sz="0" w:space="0" w:color="auto"/>
        <w:bottom w:val="none" w:sz="0" w:space="0" w:color="auto"/>
        <w:right w:val="none" w:sz="0" w:space="0" w:color="auto"/>
      </w:divBdr>
    </w:div>
    <w:div w:id="1961692316">
      <w:marLeft w:val="0"/>
      <w:marRight w:val="0"/>
      <w:marTop w:val="0"/>
      <w:marBottom w:val="0"/>
      <w:divBdr>
        <w:top w:val="none" w:sz="0" w:space="0" w:color="auto"/>
        <w:left w:val="none" w:sz="0" w:space="0" w:color="auto"/>
        <w:bottom w:val="none" w:sz="0" w:space="0" w:color="auto"/>
        <w:right w:val="none" w:sz="0" w:space="0" w:color="auto"/>
      </w:divBdr>
    </w:div>
    <w:div w:id="1961692317">
      <w:marLeft w:val="0"/>
      <w:marRight w:val="0"/>
      <w:marTop w:val="0"/>
      <w:marBottom w:val="0"/>
      <w:divBdr>
        <w:top w:val="none" w:sz="0" w:space="0" w:color="auto"/>
        <w:left w:val="none" w:sz="0" w:space="0" w:color="auto"/>
        <w:bottom w:val="none" w:sz="0" w:space="0" w:color="auto"/>
        <w:right w:val="none" w:sz="0" w:space="0" w:color="auto"/>
      </w:divBdr>
    </w:div>
    <w:div w:id="1961692318">
      <w:marLeft w:val="0"/>
      <w:marRight w:val="0"/>
      <w:marTop w:val="0"/>
      <w:marBottom w:val="0"/>
      <w:divBdr>
        <w:top w:val="none" w:sz="0" w:space="0" w:color="auto"/>
        <w:left w:val="none" w:sz="0" w:space="0" w:color="auto"/>
        <w:bottom w:val="none" w:sz="0" w:space="0" w:color="auto"/>
        <w:right w:val="none" w:sz="0" w:space="0" w:color="auto"/>
      </w:divBdr>
    </w:div>
    <w:div w:id="1961692319">
      <w:marLeft w:val="0"/>
      <w:marRight w:val="0"/>
      <w:marTop w:val="0"/>
      <w:marBottom w:val="0"/>
      <w:divBdr>
        <w:top w:val="none" w:sz="0" w:space="0" w:color="auto"/>
        <w:left w:val="none" w:sz="0" w:space="0" w:color="auto"/>
        <w:bottom w:val="none" w:sz="0" w:space="0" w:color="auto"/>
        <w:right w:val="none" w:sz="0" w:space="0" w:color="auto"/>
      </w:divBdr>
    </w:div>
    <w:div w:id="1961692320">
      <w:marLeft w:val="0"/>
      <w:marRight w:val="0"/>
      <w:marTop w:val="0"/>
      <w:marBottom w:val="0"/>
      <w:divBdr>
        <w:top w:val="none" w:sz="0" w:space="0" w:color="auto"/>
        <w:left w:val="none" w:sz="0" w:space="0" w:color="auto"/>
        <w:bottom w:val="none" w:sz="0" w:space="0" w:color="auto"/>
        <w:right w:val="none" w:sz="0" w:space="0" w:color="auto"/>
      </w:divBdr>
    </w:div>
    <w:div w:id="1961692321">
      <w:marLeft w:val="0"/>
      <w:marRight w:val="0"/>
      <w:marTop w:val="0"/>
      <w:marBottom w:val="0"/>
      <w:divBdr>
        <w:top w:val="none" w:sz="0" w:space="0" w:color="auto"/>
        <w:left w:val="none" w:sz="0" w:space="0" w:color="auto"/>
        <w:bottom w:val="none" w:sz="0" w:space="0" w:color="auto"/>
        <w:right w:val="none" w:sz="0" w:space="0" w:color="auto"/>
      </w:divBdr>
    </w:div>
    <w:div w:id="1961692322">
      <w:marLeft w:val="0"/>
      <w:marRight w:val="0"/>
      <w:marTop w:val="0"/>
      <w:marBottom w:val="0"/>
      <w:divBdr>
        <w:top w:val="none" w:sz="0" w:space="0" w:color="auto"/>
        <w:left w:val="none" w:sz="0" w:space="0" w:color="auto"/>
        <w:bottom w:val="none" w:sz="0" w:space="0" w:color="auto"/>
        <w:right w:val="none" w:sz="0" w:space="0" w:color="auto"/>
      </w:divBdr>
    </w:div>
    <w:div w:id="1961692323">
      <w:marLeft w:val="0"/>
      <w:marRight w:val="0"/>
      <w:marTop w:val="0"/>
      <w:marBottom w:val="0"/>
      <w:divBdr>
        <w:top w:val="none" w:sz="0" w:space="0" w:color="auto"/>
        <w:left w:val="none" w:sz="0" w:space="0" w:color="auto"/>
        <w:bottom w:val="none" w:sz="0" w:space="0" w:color="auto"/>
        <w:right w:val="none" w:sz="0" w:space="0" w:color="auto"/>
      </w:divBdr>
    </w:div>
    <w:div w:id="1961692324">
      <w:marLeft w:val="0"/>
      <w:marRight w:val="0"/>
      <w:marTop w:val="0"/>
      <w:marBottom w:val="0"/>
      <w:divBdr>
        <w:top w:val="none" w:sz="0" w:space="0" w:color="auto"/>
        <w:left w:val="none" w:sz="0" w:space="0" w:color="auto"/>
        <w:bottom w:val="none" w:sz="0" w:space="0" w:color="auto"/>
        <w:right w:val="none" w:sz="0" w:space="0" w:color="auto"/>
      </w:divBdr>
    </w:div>
    <w:div w:id="1961692325">
      <w:marLeft w:val="0"/>
      <w:marRight w:val="0"/>
      <w:marTop w:val="0"/>
      <w:marBottom w:val="0"/>
      <w:divBdr>
        <w:top w:val="none" w:sz="0" w:space="0" w:color="auto"/>
        <w:left w:val="none" w:sz="0" w:space="0" w:color="auto"/>
        <w:bottom w:val="none" w:sz="0" w:space="0" w:color="auto"/>
        <w:right w:val="none" w:sz="0" w:space="0" w:color="auto"/>
      </w:divBdr>
    </w:div>
    <w:div w:id="1961692326">
      <w:marLeft w:val="0"/>
      <w:marRight w:val="0"/>
      <w:marTop w:val="0"/>
      <w:marBottom w:val="0"/>
      <w:divBdr>
        <w:top w:val="none" w:sz="0" w:space="0" w:color="auto"/>
        <w:left w:val="none" w:sz="0" w:space="0" w:color="auto"/>
        <w:bottom w:val="none" w:sz="0" w:space="0" w:color="auto"/>
        <w:right w:val="none" w:sz="0" w:space="0" w:color="auto"/>
      </w:divBdr>
    </w:div>
    <w:div w:id="1961692327">
      <w:marLeft w:val="0"/>
      <w:marRight w:val="0"/>
      <w:marTop w:val="0"/>
      <w:marBottom w:val="0"/>
      <w:divBdr>
        <w:top w:val="none" w:sz="0" w:space="0" w:color="auto"/>
        <w:left w:val="none" w:sz="0" w:space="0" w:color="auto"/>
        <w:bottom w:val="none" w:sz="0" w:space="0" w:color="auto"/>
        <w:right w:val="none" w:sz="0" w:space="0" w:color="auto"/>
      </w:divBdr>
    </w:div>
    <w:div w:id="1961692328">
      <w:marLeft w:val="0"/>
      <w:marRight w:val="0"/>
      <w:marTop w:val="0"/>
      <w:marBottom w:val="0"/>
      <w:divBdr>
        <w:top w:val="none" w:sz="0" w:space="0" w:color="auto"/>
        <w:left w:val="none" w:sz="0" w:space="0" w:color="auto"/>
        <w:bottom w:val="none" w:sz="0" w:space="0" w:color="auto"/>
        <w:right w:val="none" w:sz="0" w:space="0" w:color="auto"/>
      </w:divBdr>
    </w:div>
    <w:div w:id="1961692329">
      <w:marLeft w:val="0"/>
      <w:marRight w:val="0"/>
      <w:marTop w:val="0"/>
      <w:marBottom w:val="0"/>
      <w:divBdr>
        <w:top w:val="none" w:sz="0" w:space="0" w:color="auto"/>
        <w:left w:val="none" w:sz="0" w:space="0" w:color="auto"/>
        <w:bottom w:val="none" w:sz="0" w:space="0" w:color="auto"/>
        <w:right w:val="none" w:sz="0" w:space="0" w:color="auto"/>
      </w:divBdr>
    </w:div>
    <w:div w:id="1961692330">
      <w:marLeft w:val="0"/>
      <w:marRight w:val="0"/>
      <w:marTop w:val="0"/>
      <w:marBottom w:val="0"/>
      <w:divBdr>
        <w:top w:val="none" w:sz="0" w:space="0" w:color="auto"/>
        <w:left w:val="none" w:sz="0" w:space="0" w:color="auto"/>
        <w:bottom w:val="none" w:sz="0" w:space="0" w:color="auto"/>
        <w:right w:val="none" w:sz="0" w:space="0" w:color="auto"/>
      </w:divBdr>
    </w:div>
    <w:div w:id="1961692331">
      <w:marLeft w:val="0"/>
      <w:marRight w:val="0"/>
      <w:marTop w:val="0"/>
      <w:marBottom w:val="0"/>
      <w:divBdr>
        <w:top w:val="none" w:sz="0" w:space="0" w:color="auto"/>
        <w:left w:val="none" w:sz="0" w:space="0" w:color="auto"/>
        <w:bottom w:val="none" w:sz="0" w:space="0" w:color="auto"/>
        <w:right w:val="none" w:sz="0" w:space="0" w:color="auto"/>
      </w:divBdr>
    </w:div>
    <w:div w:id="1961692332">
      <w:marLeft w:val="0"/>
      <w:marRight w:val="0"/>
      <w:marTop w:val="0"/>
      <w:marBottom w:val="0"/>
      <w:divBdr>
        <w:top w:val="none" w:sz="0" w:space="0" w:color="auto"/>
        <w:left w:val="none" w:sz="0" w:space="0" w:color="auto"/>
        <w:bottom w:val="none" w:sz="0" w:space="0" w:color="auto"/>
        <w:right w:val="none" w:sz="0" w:space="0" w:color="auto"/>
      </w:divBdr>
    </w:div>
    <w:div w:id="1961692333">
      <w:marLeft w:val="0"/>
      <w:marRight w:val="0"/>
      <w:marTop w:val="0"/>
      <w:marBottom w:val="0"/>
      <w:divBdr>
        <w:top w:val="none" w:sz="0" w:space="0" w:color="auto"/>
        <w:left w:val="none" w:sz="0" w:space="0" w:color="auto"/>
        <w:bottom w:val="none" w:sz="0" w:space="0" w:color="auto"/>
        <w:right w:val="none" w:sz="0" w:space="0" w:color="auto"/>
      </w:divBdr>
    </w:div>
    <w:div w:id="1961692334">
      <w:marLeft w:val="0"/>
      <w:marRight w:val="0"/>
      <w:marTop w:val="0"/>
      <w:marBottom w:val="0"/>
      <w:divBdr>
        <w:top w:val="none" w:sz="0" w:space="0" w:color="auto"/>
        <w:left w:val="none" w:sz="0" w:space="0" w:color="auto"/>
        <w:bottom w:val="none" w:sz="0" w:space="0" w:color="auto"/>
        <w:right w:val="none" w:sz="0" w:space="0" w:color="auto"/>
      </w:divBdr>
    </w:div>
    <w:div w:id="1961692335">
      <w:marLeft w:val="0"/>
      <w:marRight w:val="0"/>
      <w:marTop w:val="0"/>
      <w:marBottom w:val="0"/>
      <w:divBdr>
        <w:top w:val="none" w:sz="0" w:space="0" w:color="auto"/>
        <w:left w:val="none" w:sz="0" w:space="0" w:color="auto"/>
        <w:bottom w:val="none" w:sz="0" w:space="0" w:color="auto"/>
        <w:right w:val="none" w:sz="0" w:space="0" w:color="auto"/>
      </w:divBdr>
    </w:div>
    <w:div w:id="1961692336">
      <w:marLeft w:val="0"/>
      <w:marRight w:val="0"/>
      <w:marTop w:val="0"/>
      <w:marBottom w:val="0"/>
      <w:divBdr>
        <w:top w:val="none" w:sz="0" w:space="0" w:color="auto"/>
        <w:left w:val="none" w:sz="0" w:space="0" w:color="auto"/>
        <w:bottom w:val="none" w:sz="0" w:space="0" w:color="auto"/>
        <w:right w:val="none" w:sz="0" w:space="0" w:color="auto"/>
      </w:divBdr>
    </w:div>
    <w:div w:id="1961692337">
      <w:marLeft w:val="0"/>
      <w:marRight w:val="0"/>
      <w:marTop w:val="0"/>
      <w:marBottom w:val="0"/>
      <w:divBdr>
        <w:top w:val="none" w:sz="0" w:space="0" w:color="auto"/>
        <w:left w:val="none" w:sz="0" w:space="0" w:color="auto"/>
        <w:bottom w:val="none" w:sz="0" w:space="0" w:color="auto"/>
        <w:right w:val="none" w:sz="0" w:space="0" w:color="auto"/>
      </w:divBdr>
    </w:div>
    <w:div w:id="1961692338">
      <w:marLeft w:val="0"/>
      <w:marRight w:val="0"/>
      <w:marTop w:val="0"/>
      <w:marBottom w:val="0"/>
      <w:divBdr>
        <w:top w:val="none" w:sz="0" w:space="0" w:color="auto"/>
        <w:left w:val="none" w:sz="0" w:space="0" w:color="auto"/>
        <w:bottom w:val="none" w:sz="0" w:space="0" w:color="auto"/>
        <w:right w:val="none" w:sz="0" w:space="0" w:color="auto"/>
      </w:divBdr>
    </w:div>
    <w:div w:id="1961692339">
      <w:marLeft w:val="0"/>
      <w:marRight w:val="0"/>
      <w:marTop w:val="0"/>
      <w:marBottom w:val="0"/>
      <w:divBdr>
        <w:top w:val="none" w:sz="0" w:space="0" w:color="auto"/>
        <w:left w:val="none" w:sz="0" w:space="0" w:color="auto"/>
        <w:bottom w:val="none" w:sz="0" w:space="0" w:color="auto"/>
        <w:right w:val="none" w:sz="0" w:space="0" w:color="auto"/>
      </w:divBdr>
    </w:div>
    <w:div w:id="1961692340">
      <w:marLeft w:val="0"/>
      <w:marRight w:val="0"/>
      <w:marTop w:val="0"/>
      <w:marBottom w:val="0"/>
      <w:divBdr>
        <w:top w:val="none" w:sz="0" w:space="0" w:color="auto"/>
        <w:left w:val="none" w:sz="0" w:space="0" w:color="auto"/>
        <w:bottom w:val="none" w:sz="0" w:space="0" w:color="auto"/>
        <w:right w:val="none" w:sz="0" w:space="0" w:color="auto"/>
      </w:divBdr>
    </w:div>
    <w:div w:id="1961692341">
      <w:marLeft w:val="0"/>
      <w:marRight w:val="0"/>
      <w:marTop w:val="0"/>
      <w:marBottom w:val="0"/>
      <w:divBdr>
        <w:top w:val="none" w:sz="0" w:space="0" w:color="auto"/>
        <w:left w:val="none" w:sz="0" w:space="0" w:color="auto"/>
        <w:bottom w:val="none" w:sz="0" w:space="0" w:color="auto"/>
        <w:right w:val="none" w:sz="0" w:space="0" w:color="auto"/>
      </w:divBdr>
    </w:div>
    <w:div w:id="1961692342">
      <w:marLeft w:val="0"/>
      <w:marRight w:val="0"/>
      <w:marTop w:val="0"/>
      <w:marBottom w:val="0"/>
      <w:divBdr>
        <w:top w:val="none" w:sz="0" w:space="0" w:color="auto"/>
        <w:left w:val="none" w:sz="0" w:space="0" w:color="auto"/>
        <w:bottom w:val="none" w:sz="0" w:space="0" w:color="auto"/>
        <w:right w:val="none" w:sz="0" w:space="0" w:color="auto"/>
      </w:divBdr>
    </w:div>
    <w:div w:id="1961692343">
      <w:marLeft w:val="0"/>
      <w:marRight w:val="0"/>
      <w:marTop w:val="0"/>
      <w:marBottom w:val="0"/>
      <w:divBdr>
        <w:top w:val="none" w:sz="0" w:space="0" w:color="auto"/>
        <w:left w:val="none" w:sz="0" w:space="0" w:color="auto"/>
        <w:bottom w:val="none" w:sz="0" w:space="0" w:color="auto"/>
        <w:right w:val="none" w:sz="0" w:space="0" w:color="auto"/>
      </w:divBdr>
    </w:div>
    <w:div w:id="1961692344">
      <w:marLeft w:val="0"/>
      <w:marRight w:val="0"/>
      <w:marTop w:val="0"/>
      <w:marBottom w:val="0"/>
      <w:divBdr>
        <w:top w:val="none" w:sz="0" w:space="0" w:color="auto"/>
        <w:left w:val="none" w:sz="0" w:space="0" w:color="auto"/>
        <w:bottom w:val="none" w:sz="0" w:space="0" w:color="auto"/>
        <w:right w:val="none" w:sz="0" w:space="0" w:color="auto"/>
      </w:divBdr>
    </w:div>
    <w:div w:id="1961692345">
      <w:marLeft w:val="0"/>
      <w:marRight w:val="0"/>
      <w:marTop w:val="0"/>
      <w:marBottom w:val="0"/>
      <w:divBdr>
        <w:top w:val="none" w:sz="0" w:space="0" w:color="auto"/>
        <w:left w:val="none" w:sz="0" w:space="0" w:color="auto"/>
        <w:bottom w:val="none" w:sz="0" w:space="0" w:color="auto"/>
        <w:right w:val="none" w:sz="0" w:space="0" w:color="auto"/>
      </w:divBdr>
    </w:div>
    <w:div w:id="1961692346">
      <w:marLeft w:val="0"/>
      <w:marRight w:val="0"/>
      <w:marTop w:val="0"/>
      <w:marBottom w:val="0"/>
      <w:divBdr>
        <w:top w:val="none" w:sz="0" w:space="0" w:color="auto"/>
        <w:left w:val="none" w:sz="0" w:space="0" w:color="auto"/>
        <w:bottom w:val="none" w:sz="0" w:space="0" w:color="auto"/>
        <w:right w:val="none" w:sz="0" w:space="0" w:color="auto"/>
      </w:divBdr>
    </w:div>
    <w:div w:id="1961692347">
      <w:marLeft w:val="0"/>
      <w:marRight w:val="0"/>
      <w:marTop w:val="0"/>
      <w:marBottom w:val="0"/>
      <w:divBdr>
        <w:top w:val="none" w:sz="0" w:space="0" w:color="auto"/>
        <w:left w:val="none" w:sz="0" w:space="0" w:color="auto"/>
        <w:bottom w:val="none" w:sz="0" w:space="0" w:color="auto"/>
        <w:right w:val="none" w:sz="0" w:space="0" w:color="auto"/>
      </w:divBdr>
    </w:div>
    <w:div w:id="1961692348">
      <w:marLeft w:val="0"/>
      <w:marRight w:val="0"/>
      <w:marTop w:val="0"/>
      <w:marBottom w:val="0"/>
      <w:divBdr>
        <w:top w:val="none" w:sz="0" w:space="0" w:color="auto"/>
        <w:left w:val="none" w:sz="0" w:space="0" w:color="auto"/>
        <w:bottom w:val="none" w:sz="0" w:space="0" w:color="auto"/>
        <w:right w:val="none" w:sz="0" w:space="0" w:color="auto"/>
      </w:divBdr>
    </w:div>
    <w:div w:id="1961692349">
      <w:marLeft w:val="0"/>
      <w:marRight w:val="0"/>
      <w:marTop w:val="0"/>
      <w:marBottom w:val="0"/>
      <w:divBdr>
        <w:top w:val="none" w:sz="0" w:space="0" w:color="auto"/>
        <w:left w:val="none" w:sz="0" w:space="0" w:color="auto"/>
        <w:bottom w:val="none" w:sz="0" w:space="0" w:color="auto"/>
        <w:right w:val="none" w:sz="0" w:space="0" w:color="auto"/>
      </w:divBdr>
    </w:div>
    <w:div w:id="1961692350">
      <w:marLeft w:val="0"/>
      <w:marRight w:val="0"/>
      <w:marTop w:val="0"/>
      <w:marBottom w:val="0"/>
      <w:divBdr>
        <w:top w:val="none" w:sz="0" w:space="0" w:color="auto"/>
        <w:left w:val="none" w:sz="0" w:space="0" w:color="auto"/>
        <w:bottom w:val="none" w:sz="0" w:space="0" w:color="auto"/>
        <w:right w:val="none" w:sz="0" w:space="0" w:color="auto"/>
      </w:divBdr>
    </w:div>
    <w:div w:id="1961692351">
      <w:marLeft w:val="0"/>
      <w:marRight w:val="0"/>
      <w:marTop w:val="0"/>
      <w:marBottom w:val="0"/>
      <w:divBdr>
        <w:top w:val="none" w:sz="0" w:space="0" w:color="auto"/>
        <w:left w:val="none" w:sz="0" w:space="0" w:color="auto"/>
        <w:bottom w:val="none" w:sz="0" w:space="0" w:color="auto"/>
        <w:right w:val="none" w:sz="0" w:space="0" w:color="auto"/>
      </w:divBdr>
    </w:div>
    <w:div w:id="1961692352">
      <w:marLeft w:val="0"/>
      <w:marRight w:val="0"/>
      <w:marTop w:val="0"/>
      <w:marBottom w:val="0"/>
      <w:divBdr>
        <w:top w:val="none" w:sz="0" w:space="0" w:color="auto"/>
        <w:left w:val="none" w:sz="0" w:space="0" w:color="auto"/>
        <w:bottom w:val="none" w:sz="0" w:space="0" w:color="auto"/>
        <w:right w:val="none" w:sz="0" w:space="0" w:color="auto"/>
      </w:divBdr>
    </w:div>
    <w:div w:id="1961692353">
      <w:marLeft w:val="0"/>
      <w:marRight w:val="0"/>
      <w:marTop w:val="0"/>
      <w:marBottom w:val="0"/>
      <w:divBdr>
        <w:top w:val="none" w:sz="0" w:space="0" w:color="auto"/>
        <w:left w:val="none" w:sz="0" w:space="0" w:color="auto"/>
        <w:bottom w:val="none" w:sz="0" w:space="0" w:color="auto"/>
        <w:right w:val="none" w:sz="0" w:space="0" w:color="auto"/>
      </w:divBdr>
    </w:div>
    <w:div w:id="1961692354">
      <w:marLeft w:val="0"/>
      <w:marRight w:val="0"/>
      <w:marTop w:val="0"/>
      <w:marBottom w:val="0"/>
      <w:divBdr>
        <w:top w:val="none" w:sz="0" w:space="0" w:color="auto"/>
        <w:left w:val="none" w:sz="0" w:space="0" w:color="auto"/>
        <w:bottom w:val="none" w:sz="0" w:space="0" w:color="auto"/>
        <w:right w:val="none" w:sz="0" w:space="0" w:color="auto"/>
      </w:divBdr>
    </w:div>
    <w:div w:id="1961692355">
      <w:marLeft w:val="0"/>
      <w:marRight w:val="0"/>
      <w:marTop w:val="0"/>
      <w:marBottom w:val="0"/>
      <w:divBdr>
        <w:top w:val="none" w:sz="0" w:space="0" w:color="auto"/>
        <w:left w:val="none" w:sz="0" w:space="0" w:color="auto"/>
        <w:bottom w:val="none" w:sz="0" w:space="0" w:color="auto"/>
        <w:right w:val="none" w:sz="0" w:space="0" w:color="auto"/>
      </w:divBdr>
    </w:div>
    <w:div w:id="1961692356">
      <w:marLeft w:val="0"/>
      <w:marRight w:val="0"/>
      <w:marTop w:val="0"/>
      <w:marBottom w:val="0"/>
      <w:divBdr>
        <w:top w:val="none" w:sz="0" w:space="0" w:color="auto"/>
        <w:left w:val="none" w:sz="0" w:space="0" w:color="auto"/>
        <w:bottom w:val="none" w:sz="0" w:space="0" w:color="auto"/>
        <w:right w:val="none" w:sz="0" w:space="0" w:color="auto"/>
      </w:divBdr>
    </w:div>
    <w:div w:id="1961692357">
      <w:marLeft w:val="0"/>
      <w:marRight w:val="0"/>
      <w:marTop w:val="0"/>
      <w:marBottom w:val="0"/>
      <w:divBdr>
        <w:top w:val="none" w:sz="0" w:space="0" w:color="auto"/>
        <w:left w:val="none" w:sz="0" w:space="0" w:color="auto"/>
        <w:bottom w:val="none" w:sz="0" w:space="0" w:color="auto"/>
        <w:right w:val="none" w:sz="0" w:space="0" w:color="auto"/>
      </w:divBdr>
    </w:div>
    <w:div w:id="1961692358">
      <w:marLeft w:val="0"/>
      <w:marRight w:val="0"/>
      <w:marTop w:val="0"/>
      <w:marBottom w:val="0"/>
      <w:divBdr>
        <w:top w:val="none" w:sz="0" w:space="0" w:color="auto"/>
        <w:left w:val="none" w:sz="0" w:space="0" w:color="auto"/>
        <w:bottom w:val="none" w:sz="0" w:space="0" w:color="auto"/>
        <w:right w:val="none" w:sz="0" w:space="0" w:color="auto"/>
      </w:divBdr>
    </w:div>
    <w:div w:id="1961692359">
      <w:marLeft w:val="0"/>
      <w:marRight w:val="0"/>
      <w:marTop w:val="0"/>
      <w:marBottom w:val="0"/>
      <w:divBdr>
        <w:top w:val="none" w:sz="0" w:space="0" w:color="auto"/>
        <w:left w:val="none" w:sz="0" w:space="0" w:color="auto"/>
        <w:bottom w:val="none" w:sz="0" w:space="0" w:color="auto"/>
        <w:right w:val="none" w:sz="0" w:space="0" w:color="auto"/>
      </w:divBdr>
    </w:div>
    <w:div w:id="1961692360">
      <w:marLeft w:val="0"/>
      <w:marRight w:val="0"/>
      <w:marTop w:val="0"/>
      <w:marBottom w:val="0"/>
      <w:divBdr>
        <w:top w:val="none" w:sz="0" w:space="0" w:color="auto"/>
        <w:left w:val="none" w:sz="0" w:space="0" w:color="auto"/>
        <w:bottom w:val="none" w:sz="0" w:space="0" w:color="auto"/>
        <w:right w:val="none" w:sz="0" w:space="0" w:color="auto"/>
      </w:divBdr>
    </w:div>
    <w:div w:id="1961692361">
      <w:marLeft w:val="0"/>
      <w:marRight w:val="0"/>
      <w:marTop w:val="0"/>
      <w:marBottom w:val="0"/>
      <w:divBdr>
        <w:top w:val="none" w:sz="0" w:space="0" w:color="auto"/>
        <w:left w:val="none" w:sz="0" w:space="0" w:color="auto"/>
        <w:bottom w:val="none" w:sz="0" w:space="0" w:color="auto"/>
        <w:right w:val="none" w:sz="0" w:space="0" w:color="auto"/>
      </w:divBdr>
    </w:div>
    <w:div w:id="1961692362">
      <w:marLeft w:val="0"/>
      <w:marRight w:val="0"/>
      <w:marTop w:val="0"/>
      <w:marBottom w:val="0"/>
      <w:divBdr>
        <w:top w:val="none" w:sz="0" w:space="0" w:color="auto"/>
        <w:left w:val="none" w:sz="0" w:space="0" w:color="auto"/>
        <w:bottom w:val="none" w:sz="0" w:space="0" w:color="auto"/>
        <w:right w:val="none" w:sz="0" w:space="0" w:color="auto"/>
      </w:divBdr>
    </w:div>
    <w:div w:id="1961692363">
      <w:marLeft w:val="0"/>
      <w:marRight w:val="0"/>
      <w:marTop w:val="0"/>
      <w:marBottom w:val="0"/>
      <w:divBdr>
        <w:top w:val="none" w:sz="0" w:space="0" w:color="auto"/>
        <w:left w:val="none" w:sz="0" w:space="0" w:color="auto"/>
        <w:bottom w:val="none" w:sz="0" w:space="0" w:color="auto"/>
        <w:right w:val="none" w:sz="0" w:space="0" w:color="auto"/>
      </w:divBdr>
    </w:div>
    <w:div w:id="1961692364">
      <w:marLeft w:val="0"/>
      <w:marRight w:val="0"/>
      <w:marTop w:val="0"/>
      <w:marBottom w:val="0"/>
      <w:divBdr>
        <w:top w:val="none" w:sz="0" w:space="0" w:color="auto"/>
        <w:left w:val="none" w:sz="0" w:space="0" w:color="auto"/>
        <w:bottom w:val="none" w:sz="0" w:space="0" w:color="auto"/>
        <w:right w:val="none" w:sz="0" w:space="0" w:color="auto"/>
      </w:divBdr>
    </w:div>
    <w:div w:id="1961692365">
      <w:marLeft w:val="0"/>
      <w:marRight w:val="0"/>
      <w:marTop w:val="0"/>
      <w:marBottom w:val="0"/>
      <w:divBdr>
        <w:top w:val="none" w:sz="0" w:space="0" w:color="auto"/>
        <w:left w:val="none" w:sz="0" w:space="0" w:color="auto"/>
        <w:bottom w:val="none" w:sz="0" w:space="0" w:color="auto"/>
        <w:right w:val="none" w:sz="0" w:space="0" w:color="auto"/>
      </w:divBdr>
    </w:div>
    <w:div w:id="1961692366">
      <w:marLeft w:val="0"/>
      <w:marRight w:val="0"/>
      <w:marTop w:val="0"/>
      <w:marBottom w:val="0"/>
      <w:divBdr>
        <w:top w:val="none" w:sz="0" w:space="0" w:color="auto"/>
        <w:left w:val="none" w:sz="0" w:space="0" w:color="auto"/>
        <w:bottom w:val="none" w:sz="0" w:space="0" w:color="auto"/>
        <w:right w:val="none" w:sz="0" w:space="0" w:color="auto"/>
      </w:divBdr>
    </w:div>
    <w:div w:id="1961692367">
      <w:marLeft w:val="0"/>
      <w:marRight w:val="0"/>
      <w:marTop w:val="0"/>
      <w:marBottom w:val="0"/>
      <w:divBdr>
        <w:top w:val="none" w:sz="0" w:space="0" w:color="auto"/>
        <w:left w:val="none" w:sz="0" w:space="0" w:color="auto"/>
        <w:bottom w:val="none" w:sz="0" w:space="0" w:color="auto"/>
        <w:right w:val="none" w:sz="0" w:space="0" w:color="auto"/>
      </w:divBdr>
    </w:div>
    <w:div w:id="1961692368">
      <w:marLeft w:val="0"/>
      <w:marRight w:val="0"/>
      <w:marTop w:val="0"/>
      <w:marBottom w:val="0"/>
      <w:divBdr>
        <w:top w:val="none" w:sz="0" w:space="0" w:color="auto"/>
        <w:left w:val="none" w:sz="0" w:space="0" w:color="auto"/>
        <w:bottom w:val="none" w:sz="0" w:space="0" w:color="auto"/>
        <w:right w:val="none" w:sz="0" w:space="0" w:color="auto"/>
      </w:divBdr>
    </w:div>
    <w:div w:id="1961692369">
      <w:marLeft w:val="0"/>
      <w:marRight w:val="0"/>
      <w:marTop w:val="0"/>
      <w:marBottom w:val="0"/>
      <w:divBdr>
        <w:top w:val="none" w:sz="0" w:space="0" w:color="auto"/>
        <w:left w:val="none" w:sz="0" w:space="0" w:color="auto"/>
        <w:bottom w:val="none" w:sz="0" w:space="0" w:color="auto"/>
        <w:right w:val="none" w:sz="0" w:space="0" w:color="auto"/>
      </w:divBdr>
    </w:div>
    <w:div w:id="1961692370">
      <w:marLeft w:val="0"/>
      <w:marRight w:val="0"/>
      <w:marTop w:val="0"/>
      <w:marBottom w:val="0"/>
      <w:divBdr>
        <w:top w:val="none" w:sz="0" w:space="0" w:color="auto"/>
        <w:left w:val="none" w:sz="0" w:space="0" w:color="auto"/>
        <w:bottom w:val="none" w:sz="0" w:space="0" w:color="auto"/>
        <w:right w:val="none" w:sz="0" w:space="0" w:color="auto"/>
      </w:divBdr>
    </w:div>
    <w:div w:id="1961692371">
      <w:marLeft w:val="0"/>
      <w:marRight w:val="0"/>
      <w:marTop w:val="0"/>
      <w:marBottom w:val="0"/>
      <w:divBdr>
        <w:top w:val="none" w:sz="0" w:space="0" w:color="auto"/>
        <w:left w:val="none" w:sz="0" w:space="0" w:color="auto"/>
        <w:bottom w:val="none" w:sz="0" w:space="0" w:color="auto"/>
        <w:right w:val="none" w:sz="0" w:space="0" w:color="auto"/>
      </w:divBdr>
    </w:div>
    <w:div w:id="1961692372">
      <w:marLeft w:val="0"/>
      <w:marRight w:val="0"/>
      <w:marTop w:val="0"/>
      <w:marBottom w:val="0"/>
      <w:divBdr>
        <w:top w:val="none" w:sz="0" w:space="0" w:color="auto"/>
        <w:left w:val="none" w:sz="0" w:space="0" w:color="auto"/>
        <w:bottom w:val="none" w:sz="0" w:space="0" w:color="auto"/>
        <w:right w:val="none" w:sz="0" w:space="0" w:color="auto"/>
      </w:divBdr>
    </w:div>
    <w:div w:id="1961692373">
      <w:marLeft w:val="0"/>
      <w:marRight w:val="0"/>
      <w:marTop w:val="0"/>
      <w:marBottom w:val="0"/>
      <w:divBdr>
        <w:top w:val="none" w:sz="0" w:space="0" w:color="auto"/>
        <w:left w:val="none" w:sz="0" w:space="0" w:color="auto"/>
        <w:bottom w:val="none" w:sz="0" w:space="0" w:color="auto"/>
        <w:right w:val="none" w:sz="0" w:space="0" w:color="auto"/>
      </w:divBdr>
    </w:div>
    <w:div w:id="1961692374">
      <w:marLeft w:val="0"/>
      <w:marRight w:val="0"/>
      <w:marTop w:val="0"/>
      <w:marBottom w:val="0"/>
      <w:divBdr>
        <w:top w:val="none" w:sz="0" w:space="0" w:color="auto"/>
        <w:left w:val="none" w:sz="0" w:space="0" w:color="auto"/>
        <w:bottom w:val="none" w:sz="0" w:space="0" w:color="auto"/>
        <w:right w:val="none" w:sz="0" w:space="0" w:color="auto"/>
      </w:divBdr>
    </w:div>
    <w:div w:id="1961692375">
      <w:marLeft w:val="0"/>
      <w:marRight w:val="0"/>
      <w:marTop w:val="0"/>
      <w:marBottom w:val="0"/>
      <w:divBdr>
        <w:top w:val="none" w:sz="0" w:space="0" w:color="auto"/>
        <w:left w:val="none" w:sz="0" w:space="0" w:color="auto"/>
        <w:bottom w:val="none" w:sz="0" w:space="0" w:color="auto"/>
        <w:right w:val="none" w:sz="0" w:space="0" w:color="auto"/>
      </w:divBdr>
    </w:div>
    <w:div w:id="1961692376">
      <w:marLeft w:val="0"/>
      <w:marRight w:val="0"/>
      <w:marTop w:val="0"/>
      <w:marBottom w:val="0"/>
      <w:divBdr>
        <w:top w:val="none" w:sz="0" w:space="0" w:color="auto"/>
        <w:left w:val="none" w:sz="0" w:space="0" w:color="auto"/>
        <w:bottom w:val="none" w:sz="0" w:space="0" w:color="auto"/>
        <w:right w:val="none" w:sz="0" w:space="0" w:color="auto"/>
      </w:divBdr>
    </w:div>
    <w:div w:id="1961692377">
      <w:marLeft w:val="0"/>
      <w:marRight w:val="0"/>
      <w:marTop w:val="0"/>
      <w:marBottom w:val="0"/>
      <w:divBdr>
        <w:top w:val="none" w:sz="0" w:space="0" w:color="auto"/>
        <w:left w:val="none" w:sz="0" w:space="0" w:color="auto"/>
        <w:bottom w:val="none" w:sz="0" w:space="0" w:color="auto"/>
        <w:right w:val="none" w:sz="0" w:space="0" w:color="auto"/>
      </w:divBdr>
    </w:div>
    <w:div w:id="1961692378">
      <w:marLeft w:val="0"/>
      <w:marRight w:val="0"/>
      <w:marTop w:val="0"/>
      <w:marBottom w:val="0"/>
      <w:divBdr>
        <w:top w:val="none" w:sz="0" w:space="0" w:color="auto"/>
        <w:left w:val="none" w:sz="0" w:space="0" w:color="auto"/>
        <w:bottom w:val="none" w:sz="0" w:space="0" w:color="auto"/>
        <w:right w:val="none" w:sz="0" w:space="0" w:color="auto"/>
      </w:divBdr>
    </w:div>
    <w:div w:id="1961692379">
      <w:marLeft w:val="0"/>
      <w:marRight w:val="0"/>
      <w:marTop w:val="0"/>
      <w:marBottom w:val="0"/>
      <w:divBdr>
        <w:top w:val="none" w:sz="0" w:space="0" w:color="auto"/>
        <w:left w:val="none" w:sz="0" w:space="0" w:color="auto"/>
        <w:bottom w:val="none" w:sz="0" w:space="0" w:color="auto"/>
        <w:right w:val="none" w:sz="0" w:space="0" w:color="auto"/>
      </w:divBdr>
    </w:div>
    <w:div w:id="1961692380">
      <w:marLeft w:val="0"/>
      <w:marRight w:val="0"/>
      <w:marTop w:val="0"/>
      <w:marBottom w:val="0"/>
      <w:divBdr>
        <w:top w:val="none" w:sz="0" w:space="0" w:color="auto"/>
        <w:left w:val="none" w:sz="0" w:space="0" w:color="auto"/>
        <w:bottom w:val="none" w:sz="0" w:space="0" w:color="auto"/>
        <w:right w:val="none" w:sz="0" w:space="0" w:color="auto"/>
      </w:divBdr>
    </w:div>
    <w:div w:id="1961692381">
      <w:marLeft w:val="0"/>
      <w:marRight w:val="0"/>
      <w:marTop w:val="0"/>
      <w:marBottom w:val="0"/>
      <w:divBdr>
        <w:top w:val="none" w:sz="0" w:space="0" w:color="auto"/>
        <w:left w:val="none" w:sz="0" w:space="0" w:color="auto"/>
        <w:bottom w:val="none" w:sz="0" w:space="0" w:color="auto"/>
        <w:right w:val="none" w:sz="0" w:space="0" w:color="auto"/>
      </w:divBdr>
    </w:div>
    <w:div w:id="1961692382">
      <w:marLeft w:val="0"/>
      <w:marRight w:val="0"/>
      <w:marTop w:val="0"/>
      <w:marBottom w:val="0"/>
      <w:divBdr>
        <w:top w:val="none" w:sz="0" w:space="0" w:color="auto"/>
        <w:left w:val="none" w:sz="0" w:space="0" w:color="auto"/>
        <w:bottom w:val="none" w:sz="0" w:space="0" w:color="auto"/>
        <w:right w:val="none" w:sz="0" w:space="0" w:color="auto"/>
      </w:divBdr>
    </w:div>
    <w:div w:id="1961692383">
      <w:marLeft w:val="0"/>
      <w:marRight w:val="0"/>
      <w:marTop w:val="0"/>
      <w:marBottom w:val="0"/>
      <w:divBdr>
        <w:top w:val="none" w:sz="0" w:space="0" w:color="auto"/>
        <w:left w:val="none" w:sz="0" w:space="0" w:color="auto"/>
        <w:bottom w:val="none" w:sz="0" w:space="0" w:color="auto"/>
        <w:right w:val="none" w:sz="0" w:space="0" w:color="auto"/>
      </w:divBdr>
    </w:div>
    <w:div w:id="1961692384">
      <w:marLeft w:val="0"/>
      <w:marRight w:val="0"/>
      <w:marTop w:val="0"/>
      <w:marBottom w:val="0"/>
      <w:divBdr>
        <w:top w:val="none" w:sz="0" w:space="0" w:color="auto"/>
        <w:left w:val="none" w:sz="0" w:space="0" w:color="auto"/>
        <w:bottom w:val="none" w:sz="0" w:space="0" w:color="auto"/>
        <w:right w:val="none" w:sz="0" w:space="0" w:color="auto"/>
      </w:divBdr>
    </w:div>
    <w:div w:id="1961692385">
      <w:marLeft w:val="0"/>
      <w:marRight w:val="0"/>
      <w:marTop w:val="0"/>
      <w:marBottom w:val="0"/>
      <w:divBdr>
        <w:top w:val="none" w:sz="0" w:space="0" w:color="auto"/>
        <w:left w:val="none" w:sz="0" w:space="0" w:color="auto"/>
        <w:bottom w:val="none" w:sz="0" w:space="0" w:color="auto"/>
        <w:right w:val="none" w:sz="0" w:space="0" w:color="auto"/>
      </w:divBdr>
    </w:div>
    <w:div w:id="1961692386">
      <w:marLeft w:val="0"/>
      <w:marRight w:val="0"/>
      <w:marTop w:val="0"/>
      <w:marBottom w:val="0"/>
      <w:divBdr>
        <w:top w:val="none" w:sz="0" w:space="0" w:color="auto"/>
        <w:left w:val="none" w:sz="0" w:space="0" w:color="auto"/>
        <w:bottom w:val="none" w:sz="0" w:space="0" w:color="auto"/>
        <w:right w:val="none" w:sz="0" w:space="0" w:color="auto"/>
      </w:divBdr>
    </w:div>
    <w:div w:id="1961692387">
      <w:marLeft w:val="0"/>
      <w:marRight w:val="0"/>
      <w:marTop w:val="0"/>
      <w:marBottom w:val="0"/>
      <w:divBdr>
        <w:top w:val="none" w:sz="0" w:space="0" w:color="auto"/>
        <w:left w:val="none" w:sz="0" w:space="0" w:color="auto"/>
        <w:bottom w:val="none" w:sz="0" w:space="0" w:color="auto"/>
        <w:right w:val="none" w:sz="0" w:space="0" w:color="auto"/>
      </w:divBdr>
    </w:div>
    <w:div w:id="1961692388">
      <w:marLeft w:val="0"/>
      <w:marRight w:val="0"/>
      <w:marTop w:val="0"/>
      <w:marBottom w:val="0"/>
      <w:divBdr>
        <w:top w:val="none" w:sz="0" w:space="0" w:color="auto"/>
        <w:left w:val="none" w:sz="0" w:space="0" w:color="auto"/>
        <w:bottom w:val="none" w:sz="0" w:space="0" w:color="auto"/>
        <w:right w:val="none" w:sz="0" w:space="0" w:color="auto"/>
      </w:divBdr>
    </w:div>
    <w:div w:id="1961692389">
      <w:marLeft w:val="0"/>
      <w:marRight w:val="0"/>
      <w:marTop w:val="0"/>
      <w:marBottom w:val="0"/>
      <w:divBdr>
        <w:top w:val="none" w:sz="0" w:space="0" w:color="auto"/>
        <w:left w:val="none" w:sz="0" w:space="0" w:color="auto"/>
        <w:bottom w:val="none" w:sz="0" w:space="0" w:color="auto"/>
        <w:right w:val="none" w:sz="0" w:space="0" w:color="auto"/>
      </w:divBdr>
    </w:div>
    <w:div w:id="1961692390">
      <w:marLeft w:val="0"/>
      <w:marRight w:val="0"/>
      <w:marTop w:val="0"/>
      <w:marBottom w:val="0"/>
      <w:divBdr>
        <w:top w:val="none" w:sz="0" w:space="0" w:color="auto"/>
        <w:left w:val="none" w:sz="0" w:space="0" w:color="auto"/>
        <w:bottom w:val="none" w:sz="0" w:space="0" w:color="auto"/>
        <w:right w:val="none" w:sz="0" w:space="0" w:color="auto"/>
      </w:divBdr>
    </w:div>
    <w:div w:id="1961692391">
      <w:marLeft w:val="0"/>
      <w:marRight w:val="0"/>
      <w:marTop w:val="0"/>
      <w:marBottom w:val="0"/>
      <w:divBdr>
        <w:top w:val="none" w:sz="0" w:space="0" w:color="auto"/>
        <w:left w:val="none" w:sz="0" w:space="0" w:color="auto"/>
        <w:bottom w:val="none" w:sz="0" w:space="0" w:color="auto"/>
        <w:right w:val="none" w:sz="0" w:space="0" w:color="auto"/>
      </w:divBdr>
    </w:div>
    <w:div w:id="1961692392">
      <w:marLeft w:val="0"/>
      <w:marRight w:val="0"/>
      <w:marTop w:val="0"/>
      <w:marBottom w:val="0"/>
      <w:divBdr>
        <w:top w:val="none" w:sz="0" w:space="0" w:color="auto"/>
        <w:left w:val="none" w:sz="0" w:space="0" w:color="auto"/>
        <w:bottom w:val="none" w:sz="0" w:space="0" w:color="auto"/>
        <w:right w:val="none" w:sz="0" w:space="0" w:color="auto"/>
      </w:divBdr>
    </w:div>
    <w:div w:id="1961692393">
      <w:marLeft w:val="0"/>
      <w:marRight w:val="0"/>
      <w:marTop w:val="0"/>
      <w:marBottom w:val="0"/>
      <w:divBdr>
        <w:top w:val="none" w:sz="0" w:space="0" w:color="auto"/>
        <w:left w:val="none" w:sz="0" w:space="0" w:color="auto"/>
        <w:bottom w:val="none" w:sz="0" w:space="0" w:color="auto"/>
        <w:right w:val="none" w:sz="0" w:space="0" w:color="auto"/>
      </w:divBdr>
    </w:div>
    <w:div w:id="1961692394">
      <w:marLeft w:val="0"/>
      <w:marRight w:val="0"/>
      <w:marTop w:val="0"/>
      <w:marBottom w:val="0"/>
      <w:divBdr>
        <w:top w:val="none" w:sz="0" w:space="0" w:color="auto"/>
        <w:left w:val="none" w:sz="0" w:space="0" w:color="auto"/>
        <w:bottom w:val="none" w:sz="0" w:space="0" w:color="auto"/>
        <w:right w:val="none" w:sz="0" w:space="0" w:color="auto"/>
      </w:divBdr>
    </w:div>
    <w:div w:id="1961692395">
      <w:marLeft w:val="0"/>
      <w:marRight w:val="0"/>
      <w:marTop w:val="0"/>
      <w:marBottom w:val="0"/>
      <w:divBdr>
        <w:top w:val="none" w:sz="0" w:space="0" w:color="auto"/>
        <w:left w:val="none" w:sz="0" w:space="0" w:color="auto"/>
        <w:bottom w:val="none" w:sz="0" w:space="0" w:color="auto"/>
        <w:right w:val="none" w:sz="0" w:space="0" w:color="auto"/>
      </w:divBdr>
    </w:div>
    <w:div w:id="1961692396">
      <w:marLeft w:val="0"/>
      <w:marRight w:val="0"/>
      <w:marTop w:val="0"/>
      <w:marBottom w:val="0"/>
      <w:divBdr>
        <w:top w:val="none" w:sz="0" w:space="0" w:color="auto"/>
        <w:left w:val="none" w:sz="0" w:space="0" w:color="auto"/>
        <w:bottom w:val="none" w:sz="0" w:space="0" w:color="auto"/>
        <w:right w:val="none" w:sz="0" w:space="0" w:color="auto"/>
      </w:divBdr>
    </w:div>
    <w:div w:id="1961692397">
      <w:marLeft w:val="0"/>
      <w:marRight w:val="0"/>
      <w:marTop w:val="0"/>
      <w:marBottom w:val="0"/>
      <w:divBdr>
        <w:top w:val="none" w:sz="0" w:space="0" w:color="auto"/>
        <w:left w:val="none" w:sz="0" w:space="0" w:color="auto"/>
        <w:bottom w:val="none" w:sz="0" w:space="0" w:color="auto"/>
        <w:right w:val="none" w:sz="0" w:space="0" w:color="auto"/>
      </w:divBdr>
    </w:div>
    <w:div w:id="1961692398">
      <w:marLeft w:val="0"/>
      <w:marRight w:val="0"/>
      <w:marTop w:val="0"/>
      <w:marBottom w:val="0"/>
      <w:divBdr>
        <w:top w:val="none" w:sz="0" w:space="0" w:color="auto"/>
        <w:left w:val="none" w:sz="0" w:space="0" w:color="auto"/>
        <w:bottom w:val="none" w:sz="0" w:space="0" w:color="auto"/>
        <w:right w:val="none" w:sz="0" w:space="0" w:color="auto"/>
      </w:divBdr>
    </w:div>
    <w:div w:id="1961692399">
      <w:marLeft w:val="0"/>
      <w:marRight w:val="0"/>
      <w:marTop w:val="0"/>
      <w:marBottom w:val="0"/>
      <w:divBdr>
        <w:top w:val="none" w:sz="0" w:space="0" w:color="auto"/>
        <w:left w:val="none" w:sz="0" w:space="0" w:color="auto"/>
        <w:bottom w:val="none" w:sz="0" w:space="0" w:color="auto"/>
        <w:right w:val="none" w:sz="0" w:space="0" w:color="auto"/>
      </w:divBdr>
    </w:div>
    <w:div w:id="2051226206">
      <w:bodyDiv w:val="1"/>
      <w:marLeft w:val="0"/>
      <w:marRight w:val="0"/>
      <w:marTop w:val="0"/>
      <w:marBottom w:val="0"/>
      <w:divBdr>
        <w:top w:val="none" w:sz="0" w:space="0" w:color="auto"/>
        <w:left w:val="none" w:sz="0" w:space="0" w:color="auto"/>
        <w:bottom w:val="none" w:sz="0" w:space="0" w:color="auto"/>
        <w:right w:val="none" w:sz="0" w:space="0" w:color="auto"/>
      </w:divBdr>
    </w:div>
    <w:div w:id="21002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2.xml"/><Relationship Id="rId26" Type="http://schemas.openxmlformats.org/officeDocument/2006/relationships/image" Target="media/image15.emf"/><Relationship Id="rId39" Type="http://schemas.openxmlformats.org/officeDocument/2006/relationships/image" Target="media/image24.emf"/><Relationship Id="rId21" Type="http://schemas.openxmlformats.org/officeDocument/2006/relationships/image" Target="media/image10.emf"/><Relationship Id="rId34" Type="http://schemas.openxmlformats.org/officeDocument/2006/relationships/header" Target="header4.xml"/><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image" Target="media/image48.emf"/><Relationship Id="rId68" Type="http://schemas.openxmlformats.org/officeDocument/2006/relationships/footer" Target="footer5.xml"/><Relationship Id="rId7" Type="http://schemas.openxmlformats.org/officeDocument/2006/relationships/footnotes" Target="foot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8.emf"/><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footer" Target="footer3.xml"/><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43.emf"/><Relationship Id="rId66" Type="http://schemas.openxmlformats.org/officeDocument/2006/relationships/image" Target="media/image51.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eader" Target="header3.xml"/><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65" Type="http://schemas.openxmlformats.org/officeDocument/2006/relationships/image" Target="media/image50.emf"/><Relationship Id="rId7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6.e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header" Target="header5.xml"/><Relationship Id="rId20" Type="http://schemas.openxmlformats.org/officeDocument/2006/relationships/image" Target="media/image9.emf"/><Relationship Id="rId41" Type="http://schemas.openxmlformats.org/officeDocument/2006/relationships/image" Target="media/image26.emf"/><Relationship Id="rId54" Type="http://schemas.openxmlformats.org/officeDocument/2006/relationships/image" Target="media/image39.emf"/><Relationship Id="rId62" Type="http://schemas.openxmlformats.org/officeDocument/2006/relationships/image" Target="media/image47.emf"/><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EF62-17E0-453D-B7BA-0EC1CFF0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16309</Words>
  <Characters>88894</Characters>
  <Application>Microsoft Office Word</Application>
  <DocSecurity>0</DocSecurity>
  <Lines>740</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BA1</vt:lpstr>
      <vt:lpstr>BA1</vt:lpstr>
    </vt:vector>
  </TitlesOfParts>
  <Company>..</Company>
  <LinksUpToDate>false</LinksUpToDate>
  <CharactersWithSpaces>104994</CharactersWithSpaces>
  <SharedDoc>false</SharedDoc>
  <HLinks>
    <vt:vector size="132" baseType="variant">
      <vt:variant>
        <vt:i4>1835056</vt:i4>
      </vt:variant>
      <vt:variant>
        <vt:i4>128</vt:i4>
      </vt:variant>
      <vt:variant>
        <vt:i4>0</vt:i4>
      </vt:variant>
      <vt:variant>
        <vt:i4>5</vt:i4>
      </vt:variant>
      <vt:variant>
        <vt:lpwstr/>
      </vt:variant>
      <vt:variant>
        <vt:lpwstr>_Toc350855631</vt:lpwstr>
      </vt:variant>
      <vt:variant>
        <vt:i4>1835056</vt:i4>
      </vt:variant>
      <vt:variant>
        <vt:i4>122</vt:i4>
      </vt:variant>
      <vt:variant>
        <vt:i4>0</vt:i4>
      </vt:variant>
      <vt:variant>
        <vt:i4>5</vt:i4>
      </vt:variant>
      <vt:variant>
        <vt:lpwstr/>
      </vt:variant>
      <vt:variant>
        <vt:lpwstr>_Toc350855630</vt:lpwstr>
      </vt:variant>
      <vt:variant>
        <vt:i4>1900592</vt:i4>
      </vt:variant>
      <vt:variant>
        <vt:i4>116</vt:i4>
      </vt:variant>
      <vt:variant>
        <vt:i4>0</vt:i4>
      </vt:variant>
      <vt:variant>
        <vt:i4>5</vt:i4>
      </vt:variant>
      <vt:variant>
        <vt:lpwstr/>
      </vt:variant>
      <vt:variant>
        <vt:lpwstr>_Toc350855629</vt:lpwstr>
      </vt:variant>
      <vt:variant>
        <vt:i4>1900592</vt:i4>
      </vt:variant>
      <vt:variant>
        <vt:i4>110</vt:i4>
      </vt:variant>
      <vt:variant>
        <vt:i4>0</vt:i4>
      </vt:variant>
      <vt:variant>
        <vt:i4>5</vt:i4>
      </vt:variant>
      <vt:variant>
        <vt:lpwstr/>
      </vt:variant>
      <vt:variant>
        <vt:lpwstr>_Toc350855628</vt:lpwstr>
      </vt:variant>
      <vt:variant>
        <vt:i4>1900592</vt:i4>
      </vt:variant>
      <vt:variant>
        <vt:i4>104</vt:i4>
      </vt:variant>
      <vt:variant>
        <vt:i4>0</vt:i4>
      </vt:variant>
      <vt:variant>
        <vt:i4>5</vt:i4>
      </vt:variant>
      <vt:variant>
        <vt:lpwstr/>
      </vt:variant>
      <vt:variant>
        <vt:lpwstr>_Toc350855627</vt:lpwstr>
      </vt:variant>
      <vt:variant>
        <vt:i4>1900592</vt:i4>
      </vt:variant>
      <vt:variant>
        <vt:i4>98</vt:i4>
      </vt:variant>
      <vt:variant>
        <vt:i4>0</vt:i4>
      </vt:variant>
      <vt:variant>
        <vt:i4>5</vt:i4>
      </vt:variant>
      <vt:variant>
        <vt:lpwstr/>
      </vt:variant>
      <vt:variant>
        <vt:lpwstr>_Toc350855626</vt:lpwstr>
      </vt:variant>
      <vt:variant>
        <vt:i4>1900592</vt:i4>
      </vt:variant>
      <vt:variant>
        <vt:i4>92</vt:i4>
      </vt:variant>
      <vt:variant>
        <vt:i4>0</vt:i4>
      </vt:variant>
      <vt:variant>
        <vt:i4>5</vt:i4>
      </vt:variant>
      <vt:variant>
        <vt:lpwstr/>
      </vt:variant>
      <vt:variant>
        <vt:lpwstr>_Toc350855625</vt:lpwstr>
      </vt:variant>
      <vt:variant>
        <vt:i4>1900592</vt:i4>
      </vt:variant>
      <vt:variant>
        <vt:i4>86</vt:i4>
      </vt:variant>
      <vt:variant>
        <vt:i4>0</vt:i4>
      </vt:variant>
      <vt:variant>
        <vt:i4>5</vt:i4>
      </vt:variant>
      <vt:variant>
        <vt:lpwstr/>
      </vt:variant>
      <vt:variant>
        <vt:lpwstr>_Toc350855624</vt:lpwstr>
      </vt:variant>
      <vt:variant>
        <vt:i4>1900592</vt:i4>
      </vt:variant>
      <vt:variant>
        <vt:i4>80</vt:i4>
      </vt:variant>
      <vt:variant>
        <vt:i4>0</vt:i4>
      </vt:variant>
      <vt:variant>
        <vt:i4>5</vt:i4>
      </vt:variant>
      <vt:variant>
        <vt:lpwstr/>
      </vt:variant>
      <vt:variant>
        <vt:lpwstr>_Toc350855623</vt:lpwstr>
      </vt:variant>
      <vt:variant>
        <vt:i4>1900592</vt:i4>
      </vt:variant>
      <vt:variant>
        <vt:i4>74</vt:i4>
      </vt:variant>
      <vt:variant>
        <vt:i4>0</vt:i4>
      </vt:variant>
      <vt:variant>
        <vt:i4>5</vt:i4>
      </vt:variant>
      <vt:variant>
        <vt:lpwstr/>
      </vt:variant>
      <vt:variant>
        <vt:lpwstr>_Toc350855622</vt:lpwstr>
      </vt:variant>
      <vt:variant>
        <vt:i4>1900592</vt:i4>
      </vt:variant>
      <vt:variant>
        <vt:i4>68</vt:i4>
      </vt:variant>
      <vt:variant>
        <vt:i4>0</vt:i4>
      </vt:variant>
      <vt:variant>
        <vt:i4>5</vt:i4>
      </vt:variant>
      <vt:variant>
        <vt:lpwstr/>
      </vt:variant>
      <vt:variant>
        <vt:lpwstr>_Toc350855621</vt:lpwstr>
      </vt:variant>
      <vt:variant>
        <vt:i4>1900592</vt:i4>
      </vt:variant>
      <vt:variant>
        <vt:i4>62</vt:i4>
      </vt:variant>
      <vt:variant>
        <vt:i4>0</vt:i4>
      </vt:variant>
      <vt:variant>
        <vt:i4>5</vt:i4>
      </vt:variant>
      <vt:variant>
        <vt:lpwstr/>
      </vt:variant>
      <vt:variant>
        <vt:lpwstr>_Toc350855620</vt:lpwstr>
      </vt:variant>
      <vt:variant>
        <vt:i4>1966128</vt:i4>
      </vt:variant>
      <vt:variant>
        <vt:i4>56</vt:i4>
      </vt:variant>
      <vt:variant>
        <vt:i4>0</vt:i4>
      </vt:variant>
      <vt:variant>
        <vt:i4>5</vt:i4>
      </vt:variant>
      <vt:variant>
        <vt:lpwstr/>
      </vt:variant>
      <vt:variant>
        <vt:lpwstr>_Toc350855619</vt:lpwstr>
      </vt:variant>
      <vt:variant>
        <vt:i4>1966128</vt:i4>
      </vt:variant>
      <vt:variant>
        <vt:i4>50</vt:i4>
      </vt:variant>
      <vt:variant>
        <vt:i4>0</vt:i4>
      </vt:variant>
      <vt:variant>
        <vt:i4>5</vt:i4>
      </vt:variant>
      <vt:variant>
        <vt:lpwstr/>
      </vt:variant>
      <vt:variant>
        <vt:lpwstr>_Toc350855618</vt:lpwstr>
      </vt:variant>
      <vt:variant>
        <vt:i4>1966128</vt:i4>
      </vt:variant>
      <vt:variant>
        <vt:i4>44</vt:i4>
      </vt:variant>
      <vt:variant>
        <vt:i4>0</vt:i4>
      </vt:variant>
      <vt:variant>
        <vt:i4>5</vt:i4>
      </vt:variant>
      <vt:variant>
        <vt:lpwstr/>
      </vt:variant>
      <vt:variant>
        <vt:lpwstr>_Toc350855617</vt:lpwstr>
      </vt:variant>
      <vt:variant>
        <vt:i4>1966128</vt:i4>
      </vt:variant>
      <vt:variant>
        <vt:i4>38</vt:i4>
      </vt:variant>
      <vt:variant>
        <vt:i4>0</vt:i4>
      </vt:variant>
      <vt:variant>
        <vt:i4>5</vt:i4>
      </vt:variant>
      <vt:variant>
        <vt:lpwstr/>
      </vt:variant>
      <vt:variant>
        <vt:lpwstr>_Toc350855616</vt:lpwstr>
      </vt:variant>
      <vt:variant>
        <vt:i4>1966128</vt:i4>
      </vt:variant>
      <vt:variant>
        <vt:i4>32</vt:i4>
      </vt:variant>
      <vt:variant>
        <vt:i4>0</vt:i4>
      </vt:variant>
      <vt:variant>
        <vt:i4>5</vt:i4>
      </vt:variant>
      <vt:variant>
        <vt:lpwstr/>
      </vt:variant>
      <vt:variant>
        <vt:lpwstr>_Toc350855615</vt:lpwstr>
      </vt:variant>
      <vt:variant>
        <vt:i4>1966128</vt:i4>
      </vt:variant>
      <vt:variant>
        <vt:i4>26</vt:i4>
      </vt:variant>
      <vt:variant>
        <vt:i4>0</vt:i4>
      </vt:variant>
      <vt:variant>
        <vt:i4>5</vt:i4>
      </vt:variant>
      <vt:variant>
        <vt:lpwstr/>
      </vt:variant>
      <vt:variant>
        <vt:lpwstr>_Toc350855614</vt:lpwstr>
      </vt:variant>
      <vt:variant>
        <vt:i4>1966128</vt:i4>
      </vt:variant>
      <vt:variant>
        <vt:i4>20</vt:i4>
      </vt:variant>
      <vt:variant>
        <vt:i4>0</vt:i4>
      </vt:variant>
      <vt:variant>
        <vt:i4>5</vt:i4>
      </vt:variant>
      <vt:variant>
        <vt:lpwstr/>
      </vt:variant>
      <vt:variant>
        <vt:lpwstr>_Toc350855613</vt:lpwstr>
      </vt:variant>
      <vt:variant>
        <vt:i4>1966128</vt:i4>
      </vt:variant>
      <vt:variant>
        <vt:i4>14</vt:i4>
      </vt:variant>
      <vt:variant>
        <vt:i4>0</vt:i4>
      </vt:variant>
      <vt:variant>
        <vt:i4>5</vt:i4>
      </vt:variant>
      <vt:variant>
        <vt:lpwstr/>
      </vt:variant>
      <vt:variant>
        <vt:lpwstr>_Toc350855612</vt:lpwstr>
      </vt:variant>
      <vt:variant>
        <vt:i4>1966128</vt:i4>
      </vt:variant>
      <vt:variant>
        <vt:i4>8</vt:i4>
      </vt:variant>
      <vt:variant>
        <vt:i4>0</vt:i4>
      </vt:variant>
      <vt:variant>
        <vt:i4>5</vt:i4>
      </vt:variant>
      <vt:variant>
        <vt:lpwstr/>
      </vt:variant>
      <vt:variant>
        <vt:lpwstr>_Toc350855611</vt:lpwstr>
      </vt:variant>
      <vt:variant>
        <vt:i4>1966128</vt:i4>
      </vt:variant>
      <vt:variant>
        <vt:i4>2</vt:i4>
      </vt:variant>
      <vt:variant>
        <vt:i4>0</vt:i4>
      </vt:variant>
      <vt:variant>
        <vt:i4>5</vt:i4>
      </vt:variant>
      <vt:variant>
        <vt:lpwstr/>
      </vt:variant>
      <vt:variant>
        <vt:lpwstr>_Toc350855610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BA1</dc:title>
  <dc:creator>mtanine</dc:creator>
  <cp:lastModifiedBy>D698939</cp:lastModifiedBy>
  <cp:revision>7</cp:revision>
  <cp:lastPrinted>2020-05-05T15:46:00Z</cp:lastPrinted>
  <dcterms:created xsi:type="dcterms:W3CDTF">2020-04-07T09:58:00Z</dcterms:created>
  <dcterms:modified xsi:type="dcterms:W3CDTF">2020-05-05T15:47:00Z</dcterms:modified>
</cp:coreProperties>
</file>